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88DCB" w14:textId="7D5E9FAC" w:rsidR="009C415D" w:rsidRPr="009C2361" w:rsidRDefault="005A7AEB" w:rsidP="008669EF">
      <w:pPr>
        <w:pStyle w:val="a3"/>
        <w:snapToGrid w:val="0"/>
        <w:spacing w:before="0" w:beforeAutospacing="0" w:after="0" w:afterAutospacing="0" w:line="240" w:lineRule="auto"/>
        <w:ind w:firstLineChars="0" w:firstLine="0"/>
        <w:jc w:val="center"/>
        <w:rPr>
          <w:rFonts w:asciiTheme="minorEastAsia" w:eastAsiaTheme="minorEastAsia" w:hAnsiTheme="minorEastAsia" w:cs="Times New Roman"/>
          <w:b/>
          <w:sz w:val="32"/>
        </w:rPr>
      </w:pPr>
      <w:r w:rsidRPr="009C2361">
        <w:rPr>
          <w:rFonts w:asciiTheme="minorEastAsia" w:eastAsiaTheme="minorEastAsia" w:hAnsiTheme="minorEastAsia" w:cs="Times New Roman" w:hint="eastAsia"/>
          <w:b/>
          <w:sz w:val="32"/>
        </w:rPr>
        <w:t>富国基金管理有限</w:t>
      </w:r>
      <w:r w:rsidR="00055197" w:rsidRPr="009C2361">
        <w:rPr>
          <w:rFonts w:asciiTheme="minorEastAsia" w:eastAsiaTheme="minorEastAsia" w:hAnsiTheme="minorEastAsia" w:cs="Times New Roman" w:hint="eastAsia"/>
          <w:b/>
          <w:sz w:val="32"/>
        </w:rPr>
        <w:t>公司</w:t>
      </w:r>
      <w:r w:rsidR="009C415D" w:rsidRPr="009C2361">
        <w:rPr>
          <w:rFonts w:asciiTheme="minorEastAsia" w:eastAsiaTheme="minorEastAsia" w:hAnsiTheme="minorEastAsia" w:cs="Times New Roman" w:hint="eastAsia"/>
          <w:b/>
          <w:sz w:val="32"/>
        </w:rPr>
        <w:t>关于</w:t>
      </w:r>
      <w:r w:rsidRPr="009C2361">
        <w:rPr>
          <w:rFonts w:asciiTheme="minorEastAsia" w:eastAsiaTheme="minorEastAsia" w:hAnsiTheme="minorEastAsia" w:cs="Times New Roman" w:hint="eastAsia"/>
          <w:b/>
          <w:sz w:val="32"/>
        </w:rPr>
        <w:t>富国首创水务封闭式基础设施证券投资</w:t>
      </w:r>
      <w:r w:rsidR="009C415D" w:rsidRPr="009C2361">
        <w:rPr>
          <w:rFonts w:asciiTheme="minorEastAsia" w:eastAsiaTheme="minorEastAsia" w:hAnsiTheme="minorEastAsia" w:cs="Times New Roman" w:hint="eastAsia"/>
          <w:b/>
          <w:sz w:val="32"/>
        </w:rPr>
        <w:t>基金</w:t>
      </w:r>
      <w:r w:rsidR="008124D8" w:rsidRPr="009C2361">
        <w:rPr>
          <w:rFonts w:asciiTheme="minorEastAsia" w:eastAsiaTheme="minorEastAsia" w:hAnsiTheme="minorEastAsia" w:hint="eastAsia"/>
          <w:b/>
          <w:sz w:val="32"/>
          <w:szCs w:val="32"/>
        </w:rPr>
        <w:t>份额解除限售的</w:t>
      </w:r>
      <w:r w:rsidR="00DD2B92">
        <w:rPr>
          <w:rFonts w:asciiTheme="minorEastAsia" w:eastAsiaTheme="minorEastAsia" w:hAnsiTheme="minorEastAsia" w:hint="eastAsia"/>
          <w:b/>
          <w:sz w:val="32"/>
          <w:szCs w:val="32"/>
        </w:rPr>
        <w:t>风险提示</w:t>
      </w:r>
      <w:r w:rsidR="008124D8" w:rsidRPr="009C2361">
        <w:rPr>
          <w:rFonts w:asciiTheme="minorEastAsia" w:eastAsiaTheme="minorEastAsia" w:hAnsiTheme="minorEastAsia" w:hint="eastAsia"/>
          <w:b/>
          <w:sz w:val="32"/>
          <w:szCs w:val="32"/>
        </w:rPr>
        <w:t>公告</w:t>
      </w:r>
    </w:p>
    <w:p w14:paraId="192491C5" w14:textId="77777777" w:rsidR="009C415D" w:rsidRPr="009C2361" w:rsidRDefault="009C415D" w:rsidP="008669EF">
      <w:pPr>
        <w:pStyle w:val="a3"/>
        <w:snapToGrid w:val="0"/>
        <w:spacing w:before="0" w:beforeAutospacing="0" w:after="0" w:afterAutospacing="0" w:line="240" w:lineRule="auto"/>
        <w:ind w:firstLine="482"/>
        <w:jc w:val="center"/>
        <w:rPr>
          <w:rFonts w:asciiTheme="minorEastAsia" w:eastAsiaTheme="minorEastAsia" w:hAnsiTheme="minorEastAsia" w:cs="Times New Roman"/>
          <w:b/>
        </w:rPr>
      </w:pPr>
    </w:p>
    <w:p w14:paraId="2AF8F10F" w14:textId="77777777" w:rsidR="009C415D" w:rsidRPr="009C2361" w:rsidRDefault="009C415D" w:rsidP="008669EF">
      <w:pPr>
        <w:pStyle w:val="a3"/>
        <w:snapToGrid w:val="0"/>
        <w:spacing w:before="0" w:beforeAutospacing="0" w:after="0" w:afterAutospacing="0" w:line="240" w:lineRule="auto"/>
        <w:ind w:firstLine="482"/>
        <w:jc w:val="both"/>
        <w:rPr>
          <w:rFonts w:asciiTheme="minorEastAsia" w:eastAsiaTheme="minorEastAsia" w:hAnsiTheme="minorEastAsia" w:cs="Times New Roman"/>
          <w:b/>
        </w:rPr>
      </w:pPr>
      <w:r w:rsidRPr="009C2361">
        <w:rPr>
          <w:rFonts w:asciiTheme="minorEastAsia" w:eastAsiaTheme="minorEastAsia" w:hAnsiTheme="minorEastAsia" w:cs="Times New Roman" w:hint="eastAsia"/>
          <w:b/>
        </w:rPr>
        <w:t>一、公募REITs基本信息</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63"/>
      </w:tblGrid>
      <w:tr w:rsidR="00055197" w:rsidRPr="009C2361" w14:paraId="24A55FA0" w14:textId="77777777" w:rsidTr="00653C9B">
        <w:trPr>
          <w:trHeight w:val="349"/>
        </w:trPr>
        <w:tc>
          <w:tcPr>
            <w:tcW w:w="2087" w:type="dxa"/>
            <w:vAlign w:val="center"/>
          </w:tcPr>
          <w:p w14:paraId="2B4492A9" w14:textId="77777777" w:rsidR="00055197" w:rsidRPr="009C2361" w:rsidRDefault="00055197"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公募REITs名称</w:t>
            </w:r>
          </w:p>
        </w:tc>
        <w:tc>
          <w:tcPr>
            <w:tcW w:w="6163" w:type="dxa"/>
          </w:tcPr>
          <w:p w14:paraId="5D6A9FA0" w14:textId="7CC6DF02" w:rsidR="00055197" w:rsidRPr="009C2361" w:rsidRDefault="005A7AEB"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富国首创水务封闭式基础设施证券投资基金</w:t>
            </w:r>
          </w:p>
        </w:tc>
      </w:tr>
      <w:tr w:rsidR="00055197" w:rsidRPr="009C2361" w14:paraId="0F65024A" w14:textId="77777777" w:rsidTr="00653C9B">
        <w:trPr>
          <w:trHeight w:val="299"/>
        </w:trPr>
        <w:tc>
          <w:tcPr>
            <w:tcW w:w="2087" w:type="dxa"/>
            <w:vAlign w:val="center"/>
          </w:tcPr>
          <w:p w14:paraId="775235EB" w14:textId="77777777" w:rsidR="00055197" w:rsidRPr="009C2361" w:rsidRDefault="00055197"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公募REITs简称</w:t>
            </w:r>
          </w:p>
        </w:tc>
        <w:tc>
          <w:tcPr>
            <w:tcW w:w="6163" w:type="dxa"/>
          </w:tcPr>
          <w:p w14:paraId="21FB1C84" w14:textId="52A68460" w:rsidR="00055197" w:rsidRPr="009C2361" w:rsidRDefault="005A7AEB"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富国首创水务REIT</w:t>
            </w:r>
          </w:p>
        </w:tc>
      </w:tr>
      <w:tr w:rsidR="00055197" w:rsidRPr="009C2361" w14:paraId="25903561" w14:textId="77777777" w:rsidTr="00653C9B">
        <w:trPr>
          <w:trHeight w:val="391"/>
        </w:trPr>
        <w:tc>
          <w:tcPr>
            <w:tcW w:w="2087" w:type="dxa"/>
            <w:vAlign w:val="center"/>
          </w:tcPr>
          <w:p w14:paraId="31158B07" w14:textId="77777777" w:rsidR="00055197" w:rsidRPr="009C2361" w:rsidRDefault="00055197"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公募REITs代码</w:t>
            </w:r>
          </w:p>
        </w:tc>
        <w:tc>
          <w:tcPr>
            <w:tcW w:w="6163" w:type="dxa"/>
            <w:vAlign w:val="center"/>
          </w:tcPr>
          <w:p w14:paraId="3DDB9A51" w14:textId="3B9BD53C" w:rsidR="00055197" w:rsidRPr="009C2361" w:rsidRDefault="005A7AEB" w:rsidP="00F8785C">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rPr>
              <w:t>508006</w:t>
            </w:r>
          </w:p>
        </w:tc>
      </w:tr>
      <w:tr w:rsidR="00055197" w:rsidRPr="009C2361" w14:paraId="199050DA" w14:textId="77777777" w:rsidTr="00653C9B">
        <w:trPr>
          <w:trHeight w:val="391"/>
        </w:trPr>
        <w:tc>
          <w:tcPr>
            <w:tcW w:w="2087" w:type="dxa"/>
            <w:vAlign w:val="center"/>
          </w:tcPr>
          <w:p w14:paraId="285C9372" w14:textId="77777777" w:rsidR="00055197" w:rsidRPr="009C2361" w:rsidRDefault="00055197"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公募REITs合同生效日</w:t>
            </w:r>
          </w:p>
        </w:tc>
        <w:tc>
          <w:tcPr>
            <w:tcW w:w="6163" w:type="dxa"/>
          </w:tcPr>
          <w:p w14:paraId="3D4D5E1D" w14:textId="1D28B9BD" w:rsidR="00055197" w:rsidRPr="009C2361" w:rsidRDefault="005A7AEB"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2021年6月7日</w:t>
            </w:r>
          </w:p>
        </w:tc>
      </w:tr>
      <w:tr w:rsidR="00055197" w:rsidRPr="009C2361" w14:paraId="17FAFE97" w14:textId="77777777" w:rsidTr="00653C9B">
        <w:tc>
          <w:tcPr>
            <w:tcW w:w="2087" w:type="dxa"/>
            <w:vAlign w:val="center"/>
          </w:tcPr>
          <w:p w14:paraId="507A82FA" w14:textId="77777777" w:rsidR="00055197" w:rsidRPr="009C2361" w:rsidRDefault="00055197"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基金管理人名称</w:t>
            </w:r>
          </w:p>
        </w:tc>
        <w:tc>
          <w:tcPr>
            <w:tcW w:w="6163" w:type="dxa"/>
          </w:tcPr>
          <w:p w14:paraId="5EEB580E" w14:textId="2DFC4EB1" w:rsidR="00055197" w:rsidRPr="009C2361" w:rsidRDefault="005A7AEB"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富国基金管理有限公司</w:t>
            </w:r>
          </w:p>
        </w:tc>
      </w:tr>
      <w:tr w:rsidR="00055197" w:rsidRPr="009C2361" w14:paraId="4405D42B" w14:textId="77777777" w:rsidTr="00653C9B">
        <w:trPr>
          <w:trHeight w:val="418"/>
        </w:trPr>
        <w:tc>
          <w:tcPr>
            <w:tcW w:w="2087" w:type="dxa"/>
            <w:vAlign w:val="center"/>
          </w:tcPr>
          <w:p w14:paraId="1305A859" w14:textId="77777777" w:rsidR="00055197" w:rsidRPr="009C2361" w:rsidRDefault="00055197"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基金托管人名称</w:t>
            </w:r>
          </w:p>
        </w:tc>
        <w:tc>
          <w:tcPr>
            <w:tcW w:w="6163" w:type="dxa"/>
          </w:tcPr>
          <w:p w14:paraId="1972136E" w14:textId="660894B5" w:rsidR="00055197" w:rsidRPr="009C2361" w:rsidRDefault="005A7AEB"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招商银行股份有限公司</w:t>
            </w:r>
          </w:p>
        </w:tc>
      </w:tr>
      <w:tr w:rsidR="00055197" w:rsidRPr="009C2361" w14:paraId="745B2133" w14:textId="77777777" w:rsidTr="00653C9B">
        <w:trPr>
          <w:trHeight w:val="300"/>
        </w:trPr>
        <w:tc>
          <w:tcPr>
            <w:tcW w:w="2087" w:type="dxa"/>
            <w:vAlign w:val="center"/>
          </w:tcPr>
          <w:p w14:paraId="2EA93D2E" w14:textId="77777777" w:rsidR="00055197" w:rsidRPr="009C2361" w:rsidRDefault="00055197"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公告依据</w:t>
            </w:r>
          </w:p>
        </w:tc>
        <w:tc>
          <w:tcPr>
            <w:tcW w:w="6163" w:type="dxa"/>
          </w:tcPr>
          <w:p w14:paraId="2DE70335" w14:textId="4734666E" w:rsidR="00055197" w:rsidRPr="009C2361" w:rsidRDefault="005A7AEB" w:rsidP="00055197">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中华人民共和国证券投资基金法》及配套法规、《公开募集基础设施证券投资基金指引（试行）》、《上海证券交易所公开募集基础设施证券投资基金（REITs）业务办法（试行）》、《富国首创水务封闭式基础设施证券投资基金基金合同》、《富国首创水务封闭式基础设施证券投资基金招募说明书》</w:t>
            </w:r>
            <w:r w:rsidR="003A00DA" w:rsidRPr="009C2361">
              <w:rPr>
                <w:rFonts w:asciiTheme="minorEastAsia" w:eastAsiaTheme="minorEastAsia" w:hAnsiTheme="minorEastAsia" w:cs="Times New Roman" w:hint="eastAsia"/>
              </w:rPr>
              <w:t>、《</w:t>
            </w:r>
            <w:r w:rsidR="003A00DA" w:rsidRPr="009C2361">
              <w:rPr>
                <w:rFonts w:asciiTheme="minorEastAsia" w:eastAsiaTheme="minorEastAsia" w:hAnsiTheme="minorEastAsia" w:hint="eastAsia"/>
              </w:rPr>
              <w:t>富国首创水务封闭式基础设施证券投资基金2</w:t>
            </w:r>
            <w:r w:rsidR="003A00DA" w:rsidRPr="009C2361">
              <w:rPr>
                <w:rFonts w:asciiTheme="minorEastAsia" w:eastAsiaTheme="minorEastAsia" w:hAnsiTheme="minorEastAsia"/>
              </w:rPr>
              <w:t>021</w:t>
            </w:r>
            <w:r w:rsidR="003A00DA" w:rsidRPr="009C2361">
              <w:rPr>
                <w:rFonts w:asciiTheme="minorEastAsia" w:eastAsiaTheme="minorEastAsia" w:hAnsiTheme="minorEastAsia" w:hint="eastAsia"/>
              </w:rPr>
              <w:t>年年度报告》</w:t>
            </w:r>
          </w:p>
        </w:tc>
      </w:tr>
    </w:tbl>
    <w:p w14:paraId="09EE0F21" w14:textId="7BE6710F" w:rsidR="00474EB3" w:rsidRPr="009C2361" w:rsidRDefault="009C415D" w:rsidP="00F8785C">
      <w:pPr>
        <w:widowControl/>
        <w:snapToGrid w:val="0"/>
        <w:spacing w:line="360" w:lineRule="auto"/>
        <w:ind w:firstLineChars="200" w:firstLine="482"/>
        <w:rPr>
          <w:rFonts w:asciiTheme="minorEastAsia" w:eastAsiaTheme="minorEastAsia" w:hAnsiTheme="minorEastAsia"/>
          <w:b/>
          <w:color w:val="000000"/>
          <w:sz w:val="24"/>
          <w:szCs w:val="24"/>
        </w:rPr>
      </w:pPr>
      <w:r w:rsidRPr="009C2361">
        <w:rPr>
          <w:rFonts w:asciiTheme="minorEastAsia" w:eastAsiaTheme="minorEastAsia" w:hAnsiTheme="minorEastAsia" w:hint="eastAsia"/>
          <w:b/>
          <w:color w:val="000000"/>
          <w:sz w:val="24"/>
          <w:szCs w:val="24"/>
        </w:rPr>
        <w:t>二、</w:t>
      </w:r>
      <w:r w:rsidR="000739E1" w:rsidRPr="009C2361">
        <w:rPr>
          <w:rFonts w:asciiTheme="minorEastAsia" w:eastAsiaTheme="minorEastAsia" w:hAnsiTheme="minorEastAsia" w:hint="eastAsia"/>
          <w:b/>
          <w:color w:val="000000"/>
          <w:sz w:val="24"/>
          <w:szCs w:val="24"/>
        </w:rPr>
        <w:t>解除</w:t>
      </w:r>
      <w:r w:rsidR="008124D8" w:rsidRPr="009C2361">
        <w:rPr>
          <w:rFonts w:asciiTheme="minorEastAsia" w:eastAsiaTheme="minorEastAsia" w:hAnsiTheme="minorEastAsia" w:hint="eastAsia"/>
          <w:b/>
          <w:color w:val="000000"/>
          <w:sz w:val="24"/>
          <w:szCs w:val="24"/>
        </w:rPr>
        <w:t>限售份额基本情况</w:t>
      </w:r>
    </w:p>
    <w:p w14:paraId="0BDC2A3F" w14:textId="77777777" w:rsidR="000739E1" w:rsidRPr="009C2361" w:rsidRDefault="000739E1" w:rsidP="00F8785C">
      <w:pPr>
        <w:widowControl/>
        <w:snapToGrid w:val="0"/>
        <w:spacing w:line="360" w:lineRule="auto"/>
        <w:ind w:firstLineChars="200" w:firstLine="482"/>
        <w:rPr>
          <w:rFonts w:asciiTheme="minorEastAsia" w:eastAsiaTheme="minorEastAsia" w:hAnsiTheme="minorEastAsia"/>
          <w:b/>
          <w:color w:val="000000"/>
          <w:sz w:val="24"/>
          <w:szCs w:val="24"/>
        </w:rPr>
      </w:pPr>
      <w:r w:rsidRPr="009C2361">
        <w:rPr>
          <w:rFonts w:asciiTheme="minorEastAsia" w:eastAsiaTheme="minorEastAsia" w:hAnsiTheme="minorEastAsia" w:hint="eastAsia"/>
          <w:b/>
          <w:color w:val="000000"/>
          <w:sz w:val="24"/>
          <w:szCs w:val="24"/>
        </w:rPr>
        <w:t>（一）公募REITs场内份额解除限售</w:t>
      </w:r>
    </w:p>
    <w:p w14:paraId="2A360881" w14:textId="45634293" w:rsidR="000739E1" w:rsidRPr="009C2361" w:rsidRDefault="008669EF" w:rsidP="00F8785C">
      <w:pPr>
        <w:widowControl/>
        <w:snapToGrid w:val="0"/>
        <w:spacing w:line="360" w:lineRule="auto"/>
        <w:ind w:firstLineChars="200" w:firstLine="482"/>
        <w:rPr>
          <w:rFonts w:asciiTheme="minorEastAsia" w:eastAsiaTheme="minorEastAsia" w:hAnsiTheme="minorEastAsia"/>
          <w:b/>
          <w:color w:val="000000"/>
          <w:sz w:val="24"/>
          <w:szCs w:val="24"/>
        </w:rPr>
      </w:pPr>
      <w:r w:rsidRPr="009C2361">
        <w:rPr>
          <w:rFonts w:asciiTheme="minorEastAsia" w:eastAsiaTheme="minorEastAsia" w:hAnsiTheme="minorEastAsia" w:hint="eastAsia"/>
          <w:b/>
          <w:color w:val="000000"/>
          <w:sz w:val="24"/>
          <w:szCs w:val="24"/>
        </w:rPr>
        <w:t>1</w:t>
      </w:r>
      <w:r w:rsidRPr="009C2361">
        <w:rPr>
          <w:rFonts w:asciiTheme="minorEastAsia" w:eastAsiaTheme="minorEastAsia" w:hAnsiTheme="minorEastAsia"/>
          <w:b/>
          <w:color w:val="000000"/>
          <w:sz w:val="24"/>
          <w:szCs w:val="24"/>
        </w:rPr>
        <w:t>.</w:t>
      </w:r>
      <w:r w:rsidR="000739E1" w:rsidRPr="009C2361">
        <w:rPr>
          <w:rFonts w:asciiTheme="minorEastAsia" w:eastAsiaTheme="minorEastAsia" w:hAnsiTheme="minorEastAsia" w:hint="eastAsia"/>
          <w:b/>
          <w:color w:val="000000"/>
          <w:sz w:val="24"/>
          <w:szCs w:val="24"/>
        </w:rPr>
        <w:t>本次解除限售的份额情况：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39"/>
        <w:gridCol w:w="2552"/>
        <w:gridCol w:w="2268"/>
        <w:gridCol w:w="1588"/>
      </w:tblGrid>
      <w:tr w:rsidR="000739E1" w:rsidRPr="009C2361" w14:paraId="190B4D4C" w14:textId="77777777" w:rsidTr="00F8785C">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96200" w14:textId="77777777" w:rsidR="000739E1" w:rsidRPr="009C2361" w:rsidRDefault="000739E1" w:rsidP="00055197">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序号</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16813" w14:textId="77777777" w:rsidR="000739E1" w:rsidRPr="009C2361" w:rsidRDefault="000739E1" w:rsidP="00055197">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证券账户名称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28515" w14:textId="77777777" w:rsidR="000739E1" w:rsidRPr="009C2361" w:rsidRDefault="000739E1" w:rsidP="00055197">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限售份额（份）</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84ADA" w14:textId="77777777" w:rsidR="000739E1" w:rsidRPr="009C2361" w:rsidRDefault="000739E1" w:rsidP="00055197">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限售类型</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C46F7" w14:textId="78107075" w:rsidR="000739E1" w:rsidRPr="009C2361" w:rsidRDefault="000739E1" w:rsidP="00055197">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限售期（月）</w:t>
            </w:r>
          </w:p>
        </w:tc>
      </w:tr>
      <w:tr w:rsidR="005A7AEB" w:rsidRPr="009C2361" w14:paraId="6A392632" w14:textId="77777777" w:rsidTr="00F8785C">
        <w:trPr>
          <w:trHeight w:val="319"/>
        </w:trPr>
        <w:tc>
          <w:tcPr>
            <w:tcW w:w="709" w:type="dxa"/>
            <w:tcBorders>
              <w:top w:val="single" w:sz="4" w:space="0" w:color="auto"/>
              <w:left w:val="single" w:sz="4" w:space="0" w:color="auto"/>
              <w:bottom w:val="single" w:sz="4" w:space="0" w:color="auto"/>
              <w:right w:val="single" w:sz="4" w:space="0" w:color="auto"/>
            </w:tcBorders>
            <w:vAlign w:val="center"/>
          </w:tcPr>
          <w:p w14:paraId="6E580697" w14:textId="4C0BED67" w:rsidR="005A7AEB" w:rsidRPr="009C2361" w:rsidRDefault="005A7AEB" w:rsidP="005A7AEB">
            <w:pPr>
              <w:snapToGrid w:val="0"/>
              <w:jc w:val="center"/>
              <w:rPr>
                <w:rFonts w:asciiTheme="minorEastAsia" w:eastAsiaTheme="minorEastAsia" w:hAnsiTheme="minorEastAsia"/>
                <w:sz w:val="24"/>
                <w:szCs w:val="24"/>
              </w:rPr>
            </w:pPr>
            <w:r w:rsidRPr="009C2361">
              <w:rPr>
                <w:rFonts w:asciiTheme="minorEastAsia" w:eastAsiaTheme="minorEastAsia" w:hAnsiTheme="minorEastAsia"/>
                <w:color w:val="000000"/>
                <w:sz w:val="24"/>
                <w:szCs w:val="24"/>
              </w:rPr>
              <w:t>1</w:t>
            </w:r>
          </w:p>
        </w:tc>
        <w:tc>
          <w:tcPr>
            <w:tcW w:w="2239" w:type="dxa"/>
            <w:tcBorders>
              <w:top w:val="single" w:sz="4" w:space="0" w:color="auto"/>
              <w:left w:val="single" w:sz="4" w:space="0" w:color="auto"/>
              <w:bottom w:val="single" w:sz="4" w:space="0" w:color="auto"/>
              <w:right w:val="single" w:sz="4" w:space="0" w:color="auto"/>
            </w:tcBorders>
            <w:vAlign w:val="center"/>
          </w:tcPr>
          <w:p w14:paraId="4201D188" w14:textId="009F60C3" w:rsidR="005A7AEB" w:rsidRPr="009C2361" w:rsidRDefault="005A7AEB" w:rsidP="005A7AEB">
            <w:pPr>
              <w:jc w:val="center"/>
              <w:rPr>
                <w:rFonts w:asciiTheme="minorEastAsia" w:eastAsiaTheme="minorEastAsia" w:hAnsiTheme="minorEastAsia" w:cs="宋体"/>
                <w:color w:val="000000"/>
                <w:sz w:val="24"/>
                <w:szCs w:val="24"/>
              </w:rPr>
            </w:pPr>
            <w:r w:rsidRPr="009C2361">
              <w:rPr>
                <w:rFonts w:asciiTheme="minorEastAsia" w:eastAsiaTheme="minorEastAsia" w:hAnsiTheme="minorEastAsia" w:hint="eastAsia"/>
                <w:color w:val="000000"/>
                <w:sz w:val="24"/>
                <w:szCs w:val="24"/>
              </w:rPr>
              <w:t>三峡资本控股有限责任公司</w:t>
            </w:r>
          </w:p>
        </w:tc>
        <w:tc>
          <w:tcPr>
            <w:tcW w:w="2552" w:type="dxa"/>
            <w:tcBorders>
              <w:top w:val="single" w:sz="4" w:space="0" w:color="auto"/>
              <w:left w:val="single" w:sz="4" w:space="0" w:color="auto"/>
              <w:bottom w:val="single" w:sz="4" w:space="0" w:color="auto"/>
              <w:right w:val="single" w:sz="4" w:space="0" w:color="auto"/>
            </w:tcBorders>
            <w:vAlign w:val="center"/>
          </w:tcPr>
          <w:p w14:paraId="5AD01FDA" w14:textId="7D4FD23B"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 xml:space="preserve">   42,500,000.00 </w:t>
            </w:r>
          </w:p>
        </w:tc>
        <w:tc>
          <w:tcPr>
            <w:tcW w:w="2268" w:type="dxa"/>
            <w:tcBorders>
              <w:top w:val="single" w:sz="4" w:space="0" w:color="auto"/>
              <w:left w:val="single" w:sz="4" w:space="0" w:color="auto"/>
              <w:bottom w:val="single" w:sz="4" w:space="0" w:color="auto"/>
              <w:right w:val="single" w:sz="4" w:space="0" w:color="auto"/>
            </w:tcBorders>
          </w:tcPr>
          <w:p w14:paraId="7D62D90A" w14:textId="7A4126E1"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其他专业机构投资者战略配售限售</w:t>
            </w:r>
          </w:p>
        </w:tc>
        <w:tc>
          <w:tcPr>
            <w:tcW w:w="1588" w:type="dxa"/>
            <w:tcBorders>
              <w:top w:val="single" w:sz="4" w:space="0" w:color="auto"/>
              <w:left w:val="single" w:sz="4" w:space="0" w:color="auto"/>
              <w:bottom w:val="single" w:sz="4" w:space="0" w:color="auto"/>
              <w:right w:val="single" w:sz="4" w:space="0" w:color="auto"/>
            </w:tcBorders>
            <w:vAlign w:val="center"/>
          </w:tcPr>
          <w:p w14:paraId="542D5595" w14:textId="307D7E73"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12</w:t>
            </w:r>
          </w:p>
        </w:tc>
      </w:tr>
      <w:tr w:rsidR="005A7AEB" w:rsidRPr="009C2361" w14:paraId="2D8DB2D0" w14:textId="77777777" w:rsidTr="00F8785C">
        <w:trPr>
          <w:trHeight w:val="319"/>
        </w:trPr>
        <w:tc>
          <w:tcPr>
            <w:tcW w:w="709" w:type="dxa"/>
            <w:tcBorders>
              <w:top w:val="single" w:sz="4" w:space="0" w:color="auto"/>
              <w:left w:val="single" w:sz="4" w:space="0" w:color="auto"/>
              <w:bottom w:val="single" w:sz="4" w:space="0" w:color="auto"/>
              <w:right w:val="single" w:sz="4" w:space="0" w:color="auto"/>
            </w:tcBorders>
            <w:vAlign w:val="center"/>
          </w:tcPr>
          <w:p w14:paraId="1DC646C1" w14:textId="5968CD3B" w:rsidR="005A7AEB" w:rsidRPr="009C2361" w:rsidRDefault="005A7AEB" w:rsidP="005A7AEB">
            <w:pPr>
              <w:snapToGrid w:val="0"/>
              <w:jc w:val="center"/>
              <w:rPr>
                <w:rFonts w:asciiTheme="minorEastAsia" w:eastAsiaTheme="minorEastAsia" w:hAnsiTheme="minorEastAsia"/>
                <w:sz w:val="24"/>
                <w:szCs w:val="24"/>
              </w:rPr>
            </w:pPr>
            <w:r w:rsidRPr="009C2361">
              <w:rPr>
                <w:rFonts w:asciiTheme="minorEastAsia" w:eastAsiaTheme="minorEastAsia" w:hAnsiTheme="minorEastAsia"/>
                <w:color w:val="000000"/>
                <w:sz w:val="24"/>
                <w:szCs w:val="24"/>
              </w:rPr>
              <w:t>2</w:t>
            </w:r>
          </w:p>
        </w:tc>
        <w:tc>
          <w:tcPr>
            <w:tcW w:w="2239" w:type="dxa"/>
            <w:tcBorders>
              <w:top w:val="single" w:sz="4" w:space="0" w:color="auto"/>
              <w:left w:val="single" w:sz="4" w:space="0" w:color="auto"/>
              <w:bottom w:val="single" w:sz="4" w:space="0" w:color="auto"/>
              <w:right w:val="single" w:sz="4" w:space="0" w:color="auto"/>
            </w:tcBorders>
            <w:vAlign w:val="center"/>
          </w:tcPr>
          <w:p w14:paraId="5A951A8D" w14:textId="249626E7" w:rsidR="005A7AEB" w:rsidRPr="009C2361" w:rsidRDefault="005A7AEB" w:rsidP="005A7AEB">
            <w:pPr>
              <w:jc w:val="center"/>
              <w:rPr>
                <w:rFonts w:asciiTheme="minorEastAsia" w:eastAsiaTheme="minorEastAsia" w:hAnsiTheme="minorEastAsia" w:cs="宋体"/>
                <w:color w:val="000000"/>
                <w:sz w:val="24"/>
                <w:szCs w:val="24"/>
              </w:rPr>
            </w:pPr>
            <w:r w:rsidRPr="009C2361">
              <w:rPr>
                <w:rFonts w:asciiTheme="minorEastAsia" w:eastAsiaTheme="minorEastAsia" w:hAnsiTheme="minorEastAsia" w:hint="eastAsia"/>
                <w:color w:val="000000"/>
                <w:sz w:val="24"/>
                <w:szCs w:val="24"/>
              </w:rPr>
              <w:t>北京首钢基金有限公司</w:t>
            </w:r>
          </w:p>
        </w:tc>
        <w:tc>
          <w:tcPr>
            <w:tcW w:w="2552" w:type="dxa"/>
            <w:tcBorders>
              <w:top w:val="single" w:sz="4" w:space="0" w:color="auto"/>
              <w:left w:val="single" w:sz="4" w:space="0" w:color="auto"/>
              <w:bottom w:val="single" w:sz="4" w:space="0" w:color="auto"/>
              <w:right w:val="single" w:sz="4" w:space="0" w:color="auto"/>
            </w:tcBorders>
            <w:vAlign w:val="center"/>
          </w:tcPr>
          <w:p w14:paraId="25287528" w14:textId="2F5F36EC"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 xml:space="preserve">   25,000,000.00 </w:t>
            </w:r>
          </w:p>
        </w:tc>
        <w:tc>
          <w:tcPr>
            <w:tcW w:w="2268" w:type="dxa"/>
            <w:tcBorders>
              <w:top w:val="single" w:sz="4" w:space="0" w:color="auto"/>
              <w:left w:val="single" w:sz="4" w:space="0" w:color="auto"/>
              <w:bottom w:val="single" w:sz="4" w:space="0" w:color="auto"/>
              <w:right w:val="single" w:sz="4" w:space="0" w:color="auto"/>
            </w:tcBorders>
          </w:tcPr>
          <w:p w14:paraId="1C234285" w14:textId="72CACEC1"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其他专业机构投资者战略配售限售</w:t>
            </w:r>
          </w:p>
        </w:tc>
        <w:tc>
          <w:tcPr>
            <w:tcW w:w="1588" w:type="dxa"/>
            <w:tcBorders>
              <w:top w:val="single" w:sz="4" w:space="0" w:color="auto"/>
              <w:left w:val="single" w:sz="4" w:space="0" w:color="auto"/>
              <w:bottom w:val="single" w:sz="4" w:space="0" w:color="auto"/>
              <w:right w:val="single" w:sz="4" w:space="0" w:color="auto"/>
            </w:tcBorders>
            <w:vAlign w:val="center"/>
          </w:tcPr>
          <w:p w14:paraId="0FBBAAA2" w14:textId="696AA5D7"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12</w:t>
            </w:r>
          </w:p>
        </w:tc>
      </w:tr>
      <w:tr w:rsidR="005A7AEB" w:rsidRPr="009C2361" w14:paraId="236C09F4" w14:textId="77777777" w:rsidTr="00F8785C">
        <w:trPr>
          <w:trHeight w:val="319"/>
        </w:trPr>
        <w:tc>
          <w:tcPr>
            <w:tcW w:w="709" w:type="dxa"/>
            <w:tcBorders>
              <w:top w:val="single" w:sz="4" w:space="0" w:color="auto"/>
              <w:left w:val="single" w:sz="4" w:space="0" w:color="auto"/>
              <w:bottom w:val="single" w:sz="4" w:space="0" w:color="auto"/>
              <w:right w:val="single" w:sz="4" w:space="0" w:color="auto"/>
            </w:tcBorders>
            <w:vAlign w:val="center"/>
          </w:tcPr>
          <w:p w14:paraId="5DB97F2C" w14:textId="3B692051" w:rsidR="005A7AEB" w:rsidRPr="009C2361" w:rsidRDefault="005A7AEB" w:rsidP="005A7AEB">
            <w:pPr>
              <w:snapToGrid w:val="0"/>
              <w:jc w:val="center"/>
              <w:rPr>
                <w:rFonts w:asciiTheme="minorEastAsia" w:eastAsiaTheme="minorEastAsia" w:hAnsiTheme="minorEastAsia"/>
                <w:sz w:val="24"/>
                <w:szCs w:val="24"/>
              </w:rPr>
            </w:pPr>
            <w:r w:rsidRPr="009C2361">
              <w:rPr>
                <w:rFonts w:asciiTheme="minorEastAsia" w:eastAsiaTheme="minorEastAsia" w:hAnsiTheme="minorEastAsia"/>
                <w:color w:val="000000"/>
                <w:sz w:val="24"/>
                <w:szCs w:val="24"/>
              </w:rPr>
              <w:t>3</w:t>
            </w:r>
          </w:p>
        </w:tc>
        <w:tc>
          <w:tcPr>
            <w:tcW w:w="2239" w:type="dxa"/>
            <w:tcBorders>
              <w:top w:val="single" w:sz="4" w:space="0" w:color="auto"/>
              <w:left w:val="single" w:sz="4" w:space="0" w:color="auto"/>
              <w:bottom w:val="single" w:sz="4" w:space="0" w:color="auto"/>
              <w:right w:val="single" w:sz="4" w:space="0" w:color="auto"/>
            </w:tcBorders>
            <w:vAlign w:val="center"/>
          </w:tcPr>
          <w:p w14:paraId="3050A16A" w14:textId="4B099CE4" w:rsidR="005A7AEB" w:rsidRPr="009C2361" w:rsidRDefault="005A7AEB" w:rsidP="005A7AEB">
            <w:pPr>
              <w:jc w:val="center"/>
              <w:rPr>
                <w:rFonts w:asciiTheme="minorEastAsia" w:eastAsiaTheme="minorEastAsia" w:hAnsiTheme="minorEastAsia" w:cs="宋体"/>
                <w:color w:val="000000"/>
                <w:sz w:val="24"/>
                <w:szCs w:val="24"/>
              </w:rPr>
            </w:pPr>
            <w:r w:rsidRPr="009C2361">
              <w:rPr>
                <w:rFonts w:asciiTheme="minorEastAsia" w:eastAsiaTheme="minorEastAsia" w:hAnsiTheme="minorEastAsia" w:hint="eastAsia"/>
                <w:color w:val="000000"/>
                <w:sz w:val="24"/>
                <w:szCs w:val="24"/>
              </w:rPr>
              <w:t>光大证券资管－光大银行－光证资管诚享7号集合资产管理计划</w:t>
            </w:r>
          </w:p>
        </w:tc>
        <w:tc>
          <w:tcPr>
            <w:tcW w:w="2552" w:type="dxa"/>
            <w:tcBorders>
              <w:top w:val="single" w:sz="4" w:space="0" w:color="auto"/>
              <w:left w:val="single" w:sz="4" w:space="0" w:color="auto"/>
              <w:bottom w:val="single" w:sz="4" w:space="0" w:color="auto"/>
              <w:right w:val="single" w:sz="4" w:space="0" w:color="auto"/>
            </w:tcBorders>
            <w:vAlign w:val="center"/>
          </w:tcPr>
          <w:p w14:paraId="204D1E9A" w14:textId="4AD4AC05"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 xml:space="preserve">   15,000,000.00 </w:t>
            </w:r>
          </w:p>
        </w:tc>
        <w:tc>
          <w:tcPr>
            <w:tcW w:w="2268" w:type="dxa"/>
            <w:tcBorders>
              <w:top w:val="single" w:sz="4" w:space="0" w:color="auto"/>
              <w:left w:val="single" w:sz="4" w:space="0" w:color="auto"/>
              <w:bottom w:val="single" w:sz="4" w:space="0" w:color="auto"/>
              <w:right w:val="single" w:sz="4" w:space="0" w:color="auto"/>
            </w:tcBorders>
          </w:tcPr>
          <w:p w14:paraId="499BAB2C" w14:textId="5BD829CF"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其他专业机构投资者战略配售限售</w:t>
            </w:r>
          </w:p>
        </w:tc>
        <w:tc>
          <w:tcPr>
            <w:tcW w:w="1588" w:type="dxa"/>
            <w:tcBorders>
              <w:top w:val="single" w:sz="4" w:space="0" w:color="auto"/>
              <w:left w:val="single" w:sz="4" w:space="0" w:color="auto"/>
              <w:bottom w:val="single" w:sz="4" w:space="0" w:color="auto"/>
              <w:right w:val="single" w:sz="4" w:space="0" w:color="auto"/>
            </w:tcBorders>
            <w:vAlign w:val="center"/>
          </w:tcPr>
          <w:p w14:paraId="74029DC8" w14:textId="0EC8DCEB"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12</w:t>
            </w:r>
          </w:p>
        </w:tc>
      </w:tr>
      <w:tr w:rsidR="005A7AEB" w:rsidRPr="009C2361" w14:paraId="7CB8384C" w14:textId="77777777" w:rsidTr="00F8785C">
        <w:trPr>
          <w:trHeight w:val="319"/>
        </w:trPr>
        <w:tc>
          <w:tcPr>
            <w:tcW w:w="709" w:type="dxa"/>
            <w:tcBorders>
              <w:top w:val="single" w:sz="4" w:space="0" w:color="auto"/>
              <w:left w:val="single" w:sz="4" w:space="0" w:color="auto"/>
              <w:bottom w:val="single" w:sz="4" w:space="0" w:color="auto"/>
              <w:right w:val="single" w:sz="4" w:space="0" w:color="auto"/>
            </w:tcBorders>
            <w:vAlign w:val="center"/>
          </w:tcPr>
          <w:p w14:paraId="000758D6" w14:textId="4ACFDA5E" w:rsidR="005A7AEB" w:rsidRPr="009C2361" w:rsidRDefault="005A7AEB" w:rsidP="005A7AEB">
            <w:pPr>
              <w:snapToGrid w:val="0"/>
              <w:jc w:val="center"/>
              <w:rPr>
                <w:rFonts w:asciiTheme="minorEastAsia" w:eastAsiaTheme="minorEastAsia" w:hAnsiTheme="minorEastAsia"/>
                <w:sz w:val="24"/>
                <w:szCs w:val="24"/>
              </w:rPr>
            </w:pPr>
            <w:r w:rsidRPr="009C2361">
              <w:rPr>
                <w:rFonts w:asciiTheme="minorEastAsia" w:eastAsiaTheme="minorEastAsia" w:hAnsiTheme="minorEastAsia"/>
                <w:color w:val="000000"/>
                <w:sz w:val="24"/>
                <w:szCs w:val="24"/>
              </w:rPr>
              <w:t>4</w:t>
            </w:r>
          </w:p>
        </w:tc>
        <w:tc>
          <w:tcPr>
            <w:tcW w:w="2239" w:type="dxa"/>
            <w:tcBorders>
              <w:top w:val="single" w:sz="4" w:space="0" w:color="auto"/>
              <w:left w:val="single" w:sz="4" w:space="0" w:color="auto"/>
              <w:bottom w:val="single" w:sz="4" w:space="0" w:color="auto"/>
              <w:right w:val="single" w:sz="4" w:space="0" w:color="auto"/>
            </w:tcBorders>
            <w:vAlign w:val="center"/>
          </w:tcPr>
          <w:p w14:paraId="34E7C310" w14:textId="22F92E6D" w:rsidR="005A7AEB" w:rsidRPr="009C2361" w:rsidRDefault="005A7AEB" w:rsidP="005A7AEB">
            <w:pPr>
              <w:jc w:val="center"/>
              <w:rPr>
                <w:rFonts w:asciiTheme="minorEastAsia" w:eastAsiaTheme="minorEastAsia" w:hAnsiTheme="minorEastAsia" w:cs="宋体"/>
                <w:color w:val="000000"/>
                <w:sz w:val="24"/>
                <w:szCs w:val="24"/>
              </w:rPr>
            </w:pPr>
            <w:r w:rsidRPr="009C2361">
              <w:rPr>
                <w:rFonts w:asciiTheme="minorEastAsia" w:eastAsiaTheme="minorEastAsia" w:hAnsiTheme="minorEastAsia" w:hint="eastAsia"/>
                <w:color w:val="000000"/>
                <w:sz w:val="24"/>
                <w:szCs w:val="24"/>
              </w:rPr>
              <w:t>中保投资有限责任公司－中国保险投资基金（有限合伙）</w:t>
            </w:r>
          </w:p>
        </w:tc>
        <w:tc>
          <w:tcPr>
            <w:tcW w:w="2552" w:type="dxa"/>
            <w:tcBorders>
              <w:top w:val="single" w:sz="4" w:space="0" w:color="auto"/>
              <w:left w:val="single" w:sz="4" w:space="0" w:color="auto"/>
              <w:bottom w:val="single" w:sz="4" w:space="0" w:color="auto"/>
              <w:right w:val="single" w:sz="4" w:space="0" w:color="auto"/>
            </w:tcBorders>
            <w:vAlign w:val="center"/>
          </w:tcPr>
          <w:p w14:paraId="3A3314EE" w14:textId="4C76E31D"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 xml:space="preserve">    6,000,000.00 </w:t>
            </w:r>
          </w:p>
        </w:tc>
        <w:tc>
          <w:tcPr>
            <w:tcW w:w="2268" w:type="dxa"/>
            <w:tcBorders>
              <w:top w:val="single" w:sz="4" w:space="0" w:color="auto"/>
              <w:left w:val="single" w:sz="4" w:space="0" w:color="auto"/>
              <w:bottom w:val="single" w:sz="4" w:space="0" w:color="auto"/>
              <w:right w:val="single" w:sz="4" w:space="0" w:color="auto"/>
            </w:tcBorders>
          </w:tcPr>
          <w:p w14:paraId="54B6C6F3" w14:textId="07F3AF5F"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其他专业机构投资者战略配售限售</w:t>
            </w:r>
          </w:p>
        </w:tc>
        <w:tc>
          <w:tcPr>
            <w:tcW w:w="1588" w:type="dxa"/>
            <w:tcBorders>
              <w:top w:val="single" w:sz="4" w:space="0" w:color="auto"/>
              <w:left w:val="single" w:sz="4" w:space="0" w:color="auto"/>
              <w:bottom w:val="single" w:sz="4" w:space="0" w:color="auto"/>
              <w:right w:val="single" w:sz="4" w:space="0" w:color="auto"/>
            </w:tcBorders>
            <w:vAlign w:val="center"/>
          </w:tcPr>
          <w:p w14:paraId="02FB45FA" w14:textId="2A9B8F34"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12</w:t>
            </w:r>
          </w:p>
        </w:tc>
      </w:tr>
      <w:tr w:rsidR="005A7AEB" w:rsidRPr="009C2361" w14:paraId="26BFAA24" w14:textId="77777777" w:rsidTr="00F8785C">
        <w:trPr>
          <w:trHeight w:val="319"/>
        </w:trPr>
        <w:tc>
          <w:tcPr>
            <w:tcW w:w="709" w:type="dxa"/>
            <w:tcBorders>
              <w:top w:val="single" w:sz="4" w:space="0" w:color="auto"/>
              <w:left w:val="single" w:sz="4" w:space="0" w:color="auto"/>
              <w:bottom w:val="single" w:sz="4" w:space="0" w:color="auto"/>
              <w:right w:val="single" w:sz="4" w:space="0" w:color="auto"/>
            </w:tcBorders>
            <w:vAlign w:val="center"/>
          </w:tcPr>
          <w:p w14:paraId="4254A975" w14:textId="2CD18081" w:rsidR="005A7AEB" w:rsidRPr="009C2361" w:rsidRDefault="005A7AEB" w:rsidP="005A7AEB">
            <w:pPr>
              <w:snapToGrid w:val="0"/>
              <w:jc w:val="center"/>
              <w:rPr>
                <w:rFonts w:asciiTheme="minorEastAsia" w:eastAsiaTheme="minorEastAsia" w:hAnsiTheme="minorEastAsia"/>
                <w:sz w:val="24"/>
                <w:szCs w:val="24"/>
              </w:rPr>
            </w:pPr>
            <w:r w:rsidRPr="009C2361">
              <w:rPr>
                <w:rFonts w:asciiTheme="minorEastAsia" w:eastAsiaTheme="minorEastAsia" w:hAnsiTheme="minorEastAsia"/>
                <w:color w:val="000000"/>
                <w:sz w:val="24"/>
                <w:szCs w:val="24"/>
              </w:rPr>
              <w:t>5</w:t>
            </w:r>
          </w:p>
        </w:tc>
        <w:tc>
          <w:tcPr>
            <w:tcW w:w="2239" w:type="dxa"/>
            <w:tcBorders>
              <w:top w:val="single" w:sz="4" w:space="0" w:color="auto"/>
              <w:left w:val="single" w:sz="4" w:space="0" w:color="auto"/>
              <w:bottom w:val="single" w:sz="4" w:space="0" w:color="auto"/>
              <w:right w:val="single" w:sz="4" w:space="0" w:color="auto"/>
            </w:tcBorders>
            <w:vAlign w:val="center"/>
          </w:tcPr>
          <w:p w14:paraId="44F5C2FF" w14:textId="7C3B9AB1" w:rsidR="005A7AEB" w:rsidRPr="009C2361" w:rsidRDefault="005A7AEB" w:rsidP="005A7AEB">
            <w:pPr>
              <w:jc w:val="center"/>
              <w:rPr>
                <w:rFonts w:asciiTheme="minorEastAsia" w:eastAsiaTheme="minorEastAsia" w:hAnsiTheme="minorEastAsia" w:cs="宋体"/>
                <w:color w:val="000000"/>
                <w:sz w:val="24"/>
                <w:szCs w:val="24"/>
              </w:rPr>
            </w:pPr>
            <w:r w:rsidRPr="009C2361">
              <w:rPr>
                <w:rFonts w:asciiTheme="minorEastAsia" w:eastAsiaTheme="minorEastAsia" w:hAnsiTheme="minorEastAsia" w:hint="eastAsia"/>
                <w:color w:val="000000"/>
                <w:sz w:val="24"/>
                <w:szCs w:val="24"/>
              </w:rPr>
              <w:t>中国银河证券股份有限公司</w:t>
            </w:r>
          </w:p>
        </w:tc>
        <w:tc>
          <w:tcPr>
            <w:tcW w:w="2552" w:type="dxa"/>
            <w:tcBorders>
              <w:top w:val="single" w:sz="4" w:space="0" w:color="auto"/>
              <w:left w:val="single" w:sz="4" w:space="0" w:color="auto"/>
              <w:bottom w:val="single" w:sz="4" w:space="0" w:color="auto"/>
              <w:right w:val="single" w:sz="4" w:space="0" w:color="auto"/>
            </w:tcBorders>
            <w:vAlign w:val="center"/>
          </w:tcPr>
          <w:p w14:paraId="23469425" w14:textId="15AA8398"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 xml:space="preserve">    4,000,000.00 </w:t>
            </w:r>
          </w:p>
        </w:tc>
        <w:tc>
          <w:tcPr>
            <w:tcW w:w="2268" w:type="dxa"/>
            <w:tcBorders>
              <w:top w:val="single" w:sz="4" w:space="0" w:color="auto"/>
              <w:left w:val="single" w:sz="4" w:space="0" w:color="auto"/>
              <w:bottom w:val="single" w:sz="4" w:space="0" w:color="auto"/>
              <w:right w:val="single" w:sz="4" w:space="0" w:color="auto"/>
            </w:tcBorders>
          </w:tcPr>
          <w:p w14:paraId="65AE0B4F" w14:textId="49872B78"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其他专业机构投资者战略配售限售</w:t>
            </w:r>
          </w:p>
        </w:tc>
        <w:tc>
          <w:tcPr>
            <w:tcW w:w="1588" w:type="dxa"/>
            <w:tcBorders>
              <w:top w:val="single" w:sz="4" w:space="0" w:color="auto"/>
              <w:left w:val="single" w:sz="4" w:space="0" w:color="auto"/>
              <w:bottom w:val="single" w:sz="4" w:space="0" w:color="auto"/>
              <w:right w:val="single" w:sz="4" w:space="0" w:color="auto"/>
            </w:tcBorders>
            <w:vAlign w:val="center"/>
          </w:tcPr>
          <w:p w14:paraId="60F4B48F" w14:textId="619B7ED9"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12</w:t>
            </w:r>
          </w:p>
        </w:tc>
      </w:tr>
      <w:tr w:rsidR="005A7AEB" w:rsidRPr="009C2361" w14:paraId="54486B93" w14:textId="77777777" w:rsidTr="00F8785C">
        <w:trPr>
          <w:trHeight w:val="319"/>
        </w:trPr>
        <w:tc>
          <w:tcPr>
            <w:tcW w:w="709" w:type="dxa"/>
            <w:tcBorders>
              <w:top w:val="single" w:sz="4" w:space="0" w:color="auto"/>
              <w:left w:val="single" w:sz="4" w:space="0" w:color="auto"/>
              <w:bottom w:val="single" w:sz="4" w:space="0" w:color="auto"/>
              <w:right w:val="single" w:sz="4" w:space="0" w:color="auto"/>
            </w:tcBorders>
            <w:vAlign w:val="center"/>
          </w:tcPr>
          <w:p w14:paraId="21EEF8E7" w14:textId="255E2606" w:rsidR="005A7AEB" w:rsidRPr="009C2361" w:rsidRDefault="005A7AEB" w:rsidP="005A7AEB">
            <w:pPr>
              <w:snapToGrid w:val="0"/>
              <w:jc w:val="center"/>
              <w:rPr>
                <w:rFonts w:asciiTheme="minorEastAsia" w:eastAsiaTheme="minorEastAsia" w:hAnsiTheme="minorEastAsia"/>
                <w:sz w:val="24"/>
                <w:szCs w:val="24"/>
              </w:rPr>
            </w:pPr>
            <w:r w:rsidRPr="009C2361">
              <w:rPr>
                <w:rFonts w:asciiTheme="minorEastAsia" w:eastAsiaTheme="minorEastAsia" w:hAnsiTheme="minorEastAsia"/>
                <w:color w:val="000000"/>
                <w:sz w:val="24"/>
                <w:szCs w:val="24"/>
              </w:rPr>
              <w:t>6</w:t>
            </w:r>
          </w:p>
        </w:tc>
        <w:tc>
          <w:tcPr>
            <w:tcW w:w="2239" w:type="dxa"/>
            <w:tcBorders>
              <w:top w:val="single" w:sz="4" w:space="0" w:color="auto"/>
              <w:left w:val="single" w:sz="4" w:space="0" w:color="auto"/>
              <w:bottom w:val="single" w:sz="4" w:space="0" w:color="auto"/>
              <w:right w:val="single" w:sz="4" w:space="0" w:color="auto"/>
            </w:tcBorders>
            <w:vAlign w:val="center"/>
          </w:tcPr>
          <w:p w14:paraId="67CF76E1" w14:textId="27E569D5" w:rsidR="005A7AEB" w:rsidRPr="009C2361" w:rsidRDefault="005A7AEB" w:rsidP="005A7AEB">
            <w:pPr>
              <w:jc w:val="center"/>
              <w:rPr>
                <w:rFonts w:asciiTheme="minorEastAsia" w:eastAsiaTheme="minorEastAsia" w:hAnsiTheme="minorEastAsia" w:cs="宋体"/>
                <w:color w:val="000000"/>
                <w:sz w:val="24"/>
                <w:szCs w:val="24"/>
              </w:rPr>
            </w:pPr>
            <w:r w:rsidRPr="009C2361">
              <w:rPr>
                <w:rFonts w:asciiTheme="minorEastAsia" w:eastAsiaTheme="minorEastAsia" w:hAnsiTheme="minorEastAsia" w:hint="eastAsia"/>
                <w:color w:val="000000"/>
                <w:sz w:val="24"/>
                <w:szCs w:val="24"/>
              </w:rPr>
              <w:t>中国中金财富证券有限公司</w:t>
            </w:r>
          </w:p>
        </w:tc>
        <w:tc>
          <w:tcPr>
            <w:tcW w:w="2552" w:type="dxa"/>
            <w:tcBorders>
              <w:top w:val="single" w:sz="4" w:space="0" w:color="auto"/>
              <w:left w:val="single" w:sz="4" w:space="0" w:color="auto"/>
              <w:bottom w:val="single" w:sz="4" w:space="0" w:color="auto"/>
              <w:right w:val="single" w:sz="4" w:space="0" w:color="auto"/>
            </w:tcBorders>
            <w:vAlign w:val="center"/>
          </w:tcPr>
          <w:p w14:paraId="1D108216" w14:textId="2719C5F4"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 xml:space="preserve">    2,500,000.00 </w:t>
            </w:r>
          </w:p>
        </w:tc>
        <w:tc>
          <w:tcPr>
            <w:tcW w:w="2268" w:type="dxa"/>
            <w:tcBorders>
              <w:top w:val="single" w:sz="4" w:space="0" w:color="auto"/>
              <w:left w:val="single" w:sz="4" w:space="0" w:color="auto"/>
              <w:bottom w:val="single" w:sz="4" w:space="0" w:color="auto"/>
              <w:right w:val="single" w:sz="4" w:space="0" w:color="auto"/>
            </w:tcBorders>
          </w:tcPr>
          <w:p w14:paraId="1D5B527F" w14:textId="22CBF69D"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其他专业机构投资者战略配售限售</w:t>
            </w:r>
          </w:p>
        </w:tc>
        <w:tc>
          <w:tcPr>
            <w:tcW w:w="1588" w:type="dxa"/>
            <w:tcBorders>
              <w:top w:val="single" w:sz="4" w:space="0" w:color="auto"/>
              <w:left w:val="single" w:sz="4" w:space="0" w:color="auto"/>
              <w:bottom w:val="single" w:sz="4" w:space="0" w:color="auto"/>
              <w:right w:val="single" w:sz="4" w:space="0" w:color="auto"/>
            </w:tcBorders>
            <w:vAlign w:val="center"/>
          </w:tcPr>
          <w:p w14:paraId="53789712" w14:textId="05C097C4"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12</w:t>
            </w:r>
          </w:p>
        </w:tc>
      </w:tr>
      <w:tr w:rsidR="005A7AEB" w:rsidRPr="009C2361" w14:paraId="776E96EF" w14:textId="77777777" w:rsidTr="00F8785C">
        <w:trPr>
          <w:trHeight w:val="319"/>
        </w:trPr>
        <w:tc>
          <w:tcPr>
            <w:tcW w:w="709" w:type="dxa"/>
            <w:tcBorders>
              <w:top w:val="single" w:sz="4" w:space="0" w:color="auto"/>
              <w:left w:val="single" w:sz="4" w:space="0" w:color="auto"/>
              <w:bottom w:val="single" w:sz="4" w:space="0" w:color="auto"/>
              <w:right w:val="single" w:sz="4" w:space="0" w:color="auto"/>
            </w:tcBorders>
            <w:vAlign w:val="center"/>
          </w:tcPr>
          <w:p w14:paraId="2C1F4992" w14:textId="488AEC8E" w:rsidR="005A7AEB" w:rsidRPr="009C2361" w:rsidRDefault="005A7AEB" w:rsidP="005A7AEB">
            <w:pPr>
              <w:snapToGrid w:val="0"/>
              <w:jc w:val="center"/>
              <w:rPr>
                <w:rFonts w:asciiTheme="minorEastAsia" w:eastAsiaTheme="minorEastAsia" w:hAnsiTheme="minorEastAsia"/>
                <w:sz w:val="24"/>
                <w:szCs w:val="24"/>
              </w:rPr>
            </w:pPr>
            <w:r w:rsidRPr="009C2361">
              <w:rPr>
                <w:rFonts w:asciiTheme="minorEastAsia" w:eastAsiaTheme="minorEastAsia" w:hAnsiTheme="minorEastAsia"/>
                <w:color w:val="000000"/>
                <w:sz w:val="24"/>
                <w:szCs w:val="24"/>
              </w:rPr>
              <w:t>7</w:t>
            </w:r>
          </w:p>
        </w:tc>
        <w:tc>
          <w:tcPr>
            <w:tcW w:w="2239" w:type="dxa"/>
            <w:tcBorders>
              <w:top w:val="single" w:sz="4" w:space="0" w:color="auto"/>
              <w:left w:val="single" w:sz="4" w:space="0" w:color="auto"/>
              <w:bottom w:val="single" w:sz="4" w:space="0" w:color="auto"/>
              <w:right w:val="single" w:sz="4" w:space="0" w:color="auto"/>
            </w:tcBorders>
            <w:vAlign w:val="center"/>
          </w:tcPr>
          <w:p w14:paraId="4756426D" w14:textId="14A1DFD3" w:rsidR="005A7AEB" w:rsidRPr="009C2361" w:rsidRDefault="005A7AEB" w:rsidP="005A7AEB">
            <w:pPr>
              <w:jc w:val="center"/>
              <w:rPr>
                <w:rFonts w:asciiTheme="minorEastAsia" w:eastAsiaTheme="minorEastAsia" w:hAnsiTheme="minorEastAsia" w:cs="宋体"/>
                <w:color w:val="000000"/>
                <w:sz w:val="24"/>
                <w:szCs w:val="24"/>
              </w:rPr>
            </w:pPr>
            <w:r w:rsidRPr="009C2361">
              <w:rPr>
                <w:rFonts w:asciiTheme="minorEastAsia" w:eastAsiaTheme="minorEastAsia" w:hAnsiTheme="minorEastAsia" w:hint="eastAsia"/>
                <w:color w:val="000000"/>
                <w:sz w:val="24"/>
                <w:szCs w:val="24"/>
              </w:rPr>
              <w:t>招商财富资管－招商银行－招商财富</w:t>
            </w:r>
            <w:r w:rsidRPr="009C2361">
              <w:rPr>
                <w:rFonts w:asciiTheme="minorEastAsia" w:eastAsiaTheme="minorEastAsia" w:hAnsiTheme="minorEastAsia" w:hint="eastAsia"/>
                <w:color w:val="000000"/>
                <w:sz w:val="24"/>
                <w:szCs w:val="24"/>
              </w:rPr>
              <w:lastRenderedPageBreak/>
              <w:t>－招银基础设施1号集合资产管理计划</w:t>
            </w:r>
          </w:p>
        </w:tc>
        <w:tc>
          <w:tcPr>
            <w:tcW w:w="2552" w:type="dxa"/>
            <w:tcBorders>
              <w:top w:val="single" w:sz="4" w:space="0" w:color="auto"/>
              <w:left w:val="single" w:sz="4" w:space="0" w:color="auto"/>
              <w:bottom w:val="single" w:sz="4" w:space="0" w:color="auto"/>
              <w:right w:val="single" w:sz="4" w:space="0" w:color="auto"/>
            </w:tcBorders>
            <w:vAlign w:val="center"/>
          </w:tcPr>
          <w:p w14:paraId="533F2803" w14:textId="21146C22"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lastRenderedPageBreak/>
              <w:t xml:space="preserve">    2,500,000.00 </w:t>
            </w:r>
          </w:p>
        </w:tc>
        <w:tc>
          <w:tcPr>
            <w:tcW w:w="2268" w:type="dxa"/>
            <w:tcBorders>
              <w:top w:val="single" w:sz="4" w:space="0" w:color="auto"/>
              <w:left w:val="single" w:sz="4" w:space="0" w:color="auto"/>
              <w:bottom w:val="single" w:sz="4" w:space="0" w:color="auto"/>
              <w:right w:val="single" w:sz="4" w:space="0" w:color="auto"/>
            </w:tcBorders>
          </w:tcPr>
          <w:p w14:paraId="38EEE1D1" w14:textId="27851CF5"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其他专业机构投资者战略配售限售</w:t>
            </w:r>
          </w:p>
        </w:tc>
        <w:tc>
          <w:tcPr>
            <w:tcW w:w="1588" w:type="dxa"/>
            <w:tcBorders>
              <w:top w:val="single" w:sz="4" w:space="0" w:color="auto"/>
              <w:left w:val="single" w:sz="4" w:space="0" w:color="auto"/>
              <w:bottom w:val="single" w:sz="4" w:space="0" w:color="auto"/>
              <w:right w:val="single" w:sz="4" w:space="0" w:color="auto"/>
            </w:tcBorders>
            <w:vAlign w:val="center"/>
          </w:tcPr>
          <w:p w14:paraId="3F59E9E4" w14:textId="38B4BD38"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12</w:t>
            </w:r>
          </w:p>
        </w:tc>
      </w:tr>
    </w:tbl>
    <w:p w14:paraId="4C538A0E" w14:textId="77777777" w:rsidR="008669EF" w:rsidRPr="009C2361" w:rsidRDefault="008669EF" w:rsidP="008669EF">
      <w:pPr>
        <w:pStyle w:val="a3"/>
        <w:snapToGrid w:val="0"/>
        <w:spacing w:before="0" w:beforeAutospacing="0" w:after="0" w:afterAutospacing="0" w:line="240" w:lineRule="auto"/>
        <w:ind w:firstLine="48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lastRenderedPageBreak/>
        <w:t>注：上述限售份额自2022年6月21日起满足解除限售条件。</w:t>
      </w:r>
    </w:p>
    <w:p w14:paraId="043ABACF" w14:textId="77777777" w:rsidR="00F8785C" w:rsidRPr="009C2361" w:rsidRDefault="00F8785C" w:rsidP="008669EF">
      <w:pPr>
        <w:pStyle w:val="a3"/>
        <w:snapToGrid w:val="0"/>
        <w:spacing w:before="0" w:beforeAutospacing="0" w:after="0" w:afterAutospacing="0" w:line="240" w:lineRule="auto"/>
        <w:ind w:firstLine="480"/>
        <w:jc w:val="both"/>
        <w:rPr>
          <w:rFonts w:asciiTheme="minorEastAsia" w:eastAsiaTheme="minorEastAsia" w:hAnsiTheme="minorEastAsia" w:cs="Times New Roman"/>
        </w:rPr>
      </w:pPr>
    </w:p>
    <w:p w14:paraId="6CEC62D3" w14:textId="22134AC1" w:rsidR="000739E1" w:rsidRPr="009C2361" w:rsidRDefault="008669EF" w:rsidP="00F8785C">
      <w:pPr>
        <w:widowControl/>
        <w:snapToGrid w:val="0"/>
        <w:spacing w:line="360" w:lineRule="auto"/>
        <w:ind w:firstLineChars="200" w:firstLine="482"/>
        <w:rPr>
          <w:rFonts w:asciiTheme="minorEastAsia" w:eastAsiaTheme="minorEastAsia" w:hAnsiTheme="minorEastAsia"/>
          <w:b/>
          <w:color w:val="000000"/>
          <w:sz w:val="24"/>
          <w:szCs w:val="24"/>
        </w:rPr>
      </w:pPr>
      <w:r w:rsidRPr="009C2361">
        <w:rPr>
          <w:rFonts w:asciiTheme="minorEastAsia" w:eastAsiaTheme="minorEastAsia" w:hAnsiTheme="minorEastAsia" w:hint="eastAsia"/>
          <w:b/>
          <w:color w:val="000000"/>
          <w:sz w:val="24"/>
          <w:szCs w:val="24"/>
        </w:rPr>
        <w:t>2</w:t>
      </w:r>
      <w:r w:rsidRPr="009C2361">
        <w:rPr>
          <w:rFonts w:asciiTheme="minorEastAsia" w:eastAsiaTheme="minorEastAsia" w:hAnsiTheme="minorEastAsia"/>
          <w:b/>
          <w:color w:val="000000"/>
          <w:sz w:val="24"/>
          <w:szCs w:val="24"/>
        </w:rPr>
        <w:t>.</w:t>
      </w:r>
      <w:r w:rsidR="000739E1" w:rsidRPr="009C2361">
        <w:rPr>
          <w:rFonts w:asciiTheme="minorEastAsia" w:eastAsiaTheme="minorEastAsia" w:hAnsiTheme="minorEastAsia" w:hint="eastAsia"/>
          <w:b/>
          <w:color w:val="000000"/>
          <w:sz w:val="24"/>
          <w:szCs w:val="24"/>
        </w:rPr>
        <w:t>本次解除限售后剩余的限售份额情况：</w:t>
      </w:r>
    </w:p>
    <w:tbl>
      <w:tblPr>
        <w:tblW w:w="5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62"/>
        <w:gridCol w:w="2484"/>
        <w:gridCol w:w="2209"/>
        <w:gridCol w:w="1794"/>
      </w:tblGrid>
      <w:tr w:rsidR="000739E1" w:rsidRPr="009C2361" w14:paraId="4E0C88EE" w14:textId="77777777" w:rsidTr="00F8785C">
        <w:trPr>
          <w:trHeight w:val="268"/>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C82D7" w14:textId="77777777" w:rsidR="000739E1" w:rsidRPr="009C2361" w:rsidRDefault="000739E1" w:rsidP="00055197">
            <w:pPr>
              <w:snapToGrid w:val="0"/>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序号</w:t>
            </w:r>
          </w:p>
        </w:tc>
        <w:tc>
          <w:tcPr>
            <w:tcW w:w="1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474A1" w14:textId="77777777" w:rsidR="000739E1" w:rsidRPr="009C2361" w:rsidRDefault="000739E1" w:rsidP="00055197">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证券账户名称</w:t>
            </w:r>
          </w:p>
        </w:tc>
        <w:tc>
          <w:tcPr>
            <w:tcW w:w="13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B2E84" w14:textId="1FB5DEFE" w:rsidR="000739E1" w:rsidRPr="009C2361" w:rsidRDefault="009B2F12" w:rsidP="00055197">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限售份额</w:t>
            </w:r>
            <w:r w:rsidR="000739E1" w:rsidRPr="009C2361">
              <w:rPr>
                <w:rFonts w:asciiTheme="minorEastAsia" w:eastAsiaTheme="minorEastAsia" w:hAnsiTheme="minorEastAsia" w:hint="eastAsia"/>
                <w:b/>
                <w:sz w:val="24"/>
                <w:szCs w:val="24"/>
              </w:rPr>
              <w:t>（份）</w:t>
            </w:r>
          </w:p>
        </w:tc>
        <w:tc>
          <w:tcPr>
            <w:tcW w:w="11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43255" w14:textId="77777777" w:rsidR="000739E1" w:rsidRPr="009C2361" w:rsidRDefault="000739E1" w:rsidP="00055197">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限售类型</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4DD5F" w14:textId="77777777" w:rsidR="00983FD5" w:rsidRPr="009C2361" w:rsidRDefault="000739E1" w:rsidP="00444095">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限售期</w:t>
            </w:r>
          </w:p>
          <w:p w14:paraId="4D5B9915" w14:textId="58DD8FD4" w:rsidR="000739E1" w:rsidRPr="009C2361" w:rsidRDefault="000739E1" w:rsidP="00444095">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（月）</w:t>
            </w:r>
          </w:p>
        </w:tc>
      </w:tr>
      <w:tr w:rsidR="005A7AEB" w:rsidRPr="009C2361" w14:paraId="09067C45" w14:textId="77777777" w:rsidTr="00F8785C">
        <w:trPr>
          <w:trHeight w:val="331"/>
        </w:trPr>
        <w:tc>
          <w:tcPr>
            <w:tcW w:w="376" w:type="pct"/>
            <w:tcBorders>
              <w:top w:val="single" w:sz="4" w:space="0" w:color="auto"/>
              <w:left w:val="single" w:sz="4" w:space="0" w:color="auto"/>
              <w:bottom w:val="single" w:sz="4" w:space="0" w:color="auto"/>
              <w:right w:val="single" w:sz="4" w:space="0" w:color="auto"/>
            </w:tcBorders>
            <w:vAlign w:val="center"/>
          </w:tcPr>
          <w:p w14:paraId="0D1C3E2C" w14:textId="79FBEA79"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1</w:t>
            </w:r>
          </w:p>
        </w:tc>
        <w:tc>
          <w:tcPr>
            <w:tcW w:w="1156" w:type="pct"/>
            <w:tcBorders>
              <w:top w:val="single" w:sz="4" w:space="0" w:color="auto"/>
              <w:left w:val="single" w:sz="4" w:space="0" w:color="auto"/>
              <w:bottom w:val="single" w:sz="4" w:space="0" w:color="auto"/>
              <w:right w:val="single" w:sz="4" w:space="0" w:color="auto"/>
            </w:tcBorders>
            <w:vAlign w:val="center"/>
          </w:tcPr>
          <w:p w14:paraId="0F89C6C0" w14:textId="505F26DB"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北京首创生态环保集团股份有限公司</w:t>
            </w:r>
          </w:p>
        </w:tc>
        <w:tc>
          <w:tcPr>
            <w:tcW w:w="1328" w:type="pct"/>
            <w:tcBorders>
              <w:top w:val="single" w:sz="4" w:space="0" w:color="auto"/>
              <w:left w:val="single" w:sz="4" w:space="0" w:color="auto"/>
              <w:bottom w:val="single" w:sz="4" w:space="0" w:color="auto"/>
              <w:right w:val="single" w:sz="4" w:space="0" w:color="auto"/>
            </w:tcBorders>
            <w:vAlign w:val="center"/>
          </w:tcPr>
          <w:p w14:paraId="339A6009" w14:textId="6D6285FC" w:rsidR="005A7AEB" w:rsidRPr="009C2361" w:rsidRDefault="005A7AEB" w:rsidP="005A7AEB">
            <w:pPr>
              <w:snapToGrid w:val="0"/>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 xml:space="preserve">  255,000,000.00 </w:t>
            </w:r>
          </w:p>
        </w:tc>
        <w:tc>
          <w:tcPr>
            <w:tcW w:w="1181" w:type="pct"/>
            <w:tcBorders>
              <w:top w:val="single" w:sz="4" w:space="0" w:color="auto"/>
              <w:left w:val="single" w:sz="4" w:space="0" w:color="auto"/>
              <w:bottom w:val="single" w:sz="4" w:space="0" w:color="auto"/>
              <w:right w:val="single" w:sz="4" w:space="0" w:color="auto"/>
            </w:tcBorders>
            <w:vAlign w:val="center"/>
          </w:tcPr>
          <w:p w14:paraId="4462FA28" w14:textId="77BAF9FF" w:rsidR="005A7AEB" w:rsidRPr="009C2361" w:rsidRDefault="005A7AEB" w:rsidP="005A7AEB">
            <w:pPr>
              <w:snapToGrid w:val="0"/>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原始权益人及其同一控制下关联方战略配售限售</w:t>
            </w:r>
          </w:p>
        </w:tc>
        <w:tc>
          <w:tcPr>
            <w:tcW w:w="959" w:type="pct"/>
            <w:tcBorders>
              <w:top w:val="single" w:sz="4" w:space="0" w:color="auto"/>
              <w:left w:val="single" w:sz="4" w:space="0" w:color="auto"/>
              <w:bottom w:val="single" w:sz="4" w:space="0" w:color="auto"/>
              <w:right w:val="single" w:sz="4" w:space="0" w:color="auto"/>
            </w:tcBorders>
            <w:vAlign w:val="center"/>
          </w:tcPr>
          <w:p w14:paraId="2423B5E9" w14:textId="5B15A9BD" w:rsidR="005A7AEB" w:rsidRPr="009C2361" w:rsidRDefault="005A7AEB" w:rsidP="005A7AEB">
            <w:pPr>
              <w:snapToGrid w:val="0"/>
              <w:jc w:val="center"/>
              <w:rPr>
                <w:rFonts w:asciiTheme="minorEastAsia" w:eastAsiaTheme="minorEastAsia" w:hAnsiTheme="minorEastAsia"/>
                <w:sz w:val="24"/>
                <w:szCs w:val="24"/>
              </w:rPr>
            </w:pPr>
            <w:r w:rsidRPr="009C2361">
              <w:rPr>
                <w:rFonts w:asciiTheme="minorEastAsia" w:eastAsiaTheme="minorEastAsia" w:hAnsiTheme="minorEastAsia" w:hint="eastAsia"/>
                <w:color w:val="000000"/>
                <w:sz w:val="24"/>
                <w:szCs w:val="24"/>
              </w:rPr>
              <w:t>与深圳基础设施项目和合肥基础设施项目的特许经营权期限相同（以届时存续的前述基础设施项目的特许经营权到期日孰晚为准）</w:t>
            </w:r>
          </w:p>
        </w:tc>
      </w:tr>
    </w:tbl>
    <w:p w14:paraId="029D0EE3" w14:textId="38994AF0" w:rsidR="000739E1" w:rsidRPr="009C2361" w:rsidRDefault="000739E1" w:rsidP="008669EF">
      <w:pPr>
        <w:pStyle w:val="a3"/>
        <w:snapToGrid w:val="0"/>
        <w:spacing w:before="0" w:beforeAutospacing="0" w:after="0" w:afterAutospacing="0" w:line="240" w:lineRule="auto"/>
        <w:ind w:firstLine="480"/>
        <w:jc w:val="both"/>
        <w:rPr>
          <w:rFonts w:asciiTheme="minorEastAsia" w:eastAsiaTheme="minorEastAsia" w:hAnsiTheme="minorEastAsia" w:cs="Times New Roman"/>
        </w:rPr>
      </w:pPr>
    </w:p>
    <w:p w14:paraId="093136EC" w14:textId="4743817D" w:rsidR="00616D31" w:rsidRPr="009C2361" w:rsidRDefault="00616D31" w:rsidP="00F8785C">
      <w:pPr>
        <w:widowControl/>
        <w:snapToGrid w:val="0"/>
        <w:spacing w:line="360" w:lineRule="auto"/>
        <w:ind w:firstLineChars="200" w:firstLine="482"/>
        <w:rPr>
          <w:rFonts w:asciiTheme="minorEastAsia" w:eastAsiaTheme="minorEastAsia" w:hAnsiTheme="minorEastAsia"/>
          <w:b/>
          <w:color w:val="000000"/>
          <w:sz w:val="24"/>
          <w:szCs w:val="24"/>
        </w:rPr>
      </w:pPr>
      <w:r w:rsidRPr="009C2361">
        <w:rPr>
          <w:rFonts w:asciiTheme="minorEastAsia" w:eastAsiaTheme="minorEastAsia" w:hAnsiTheme="minorEastAsia" w:hint="eastAsia"/>
          <w:b/>
          <w:color w:val="000000"/>
          <w:sz w:val="24"/>
          <w:szCs w:val="24"/>
        </w:rPr>
        <w:t>（二）公募REITs场外份额解除限售</w:t>
      </w:r>
    </w:p>
    <w:p w14:paraId="4014A88B" w14:textId="5CC88256" w:rsidR="00616D31" w:rsidRPr="009C2361" w:rsidRDefault="008669EF" w:rsidP="00055197">
      <w:pPr>
        <w:pStyle w:val="a3"/>
        <w:snapToGrid w:val="0"/>
        <w:spacing w:before="0" w:beforeAutospacing="0" w:after="0" w:afterAutospacing="0" w:line="240" w:lineRule="auto"/>
        <w:ind w:firstLine="482"/>
        <w:jc w:val="both"/>
        <w:rPr>
          <w:rFonts w:asciiTheme="minorEastAsia" w:eastAsiaTheme="minorEastAsia" w:hAnsiTheme="minorEastAsia" w:cs="Times New Roman"/>
          <w:b/>
        </w:rPr>
      </w:pPr>
      <w:r w:rsidRPr="009C2361">
        <w:rPr>
          <w:rFonts w:asciiTheme="minorEastAsia" w:eastAsiaTheme="minorEastAsia" w:hAnsiTheme="minorEastAsia" w:cs="Times New Roman" w:hint="eastAsia"/>
          <w:b/>
        </w:rPr>
        <w:t>1</w:t>
      </w:r>
      <w:r w:rsidRPr="009C2361">
        <w:rPr>
          <w:rFonts w:asciiTheme="minorEastAsia" w:eastAsiaTheme="minorEastAsia" w:hAnsiTheme="minorEastAsia" w:cs="Times New Roman"/>
          <w:b/>
        </w:rPr>
        <w:t>.</w:t>
      </w:r>
      <w:r w:rsidR="00616D31" w:rsidRPr="009C2361">
        <w:rPr>
          <w:rFonts w:asciiTheme="minorEastAsia" w:eastAsiaTheme="minorEastAsia" w:hAnsiTheme="minorEastAsia" w:cs="Times New Roman" w:hint="eastAsia"/>
          <w:b/>
        </w:rPr>
        <w:t>本次解除限售的份额情况：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39"/>
        <w:gridCol w:w="2552"/>
        <w:gridCol w:w="2268"/>
        <w:gridCol w:w="1588"/>
      </w:tblGrid>
      <w:tr w:rsidR="00055197" w:rsidRPr="009C2361" w14:paraId="3E34B1CC" w14:textId="77777777" w:rsidTr="00F8785C">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94448" w14:textId="77777777" w:rsidR="00055197" w:rsidRPr="009C2361" w:rsidRDefault="00055197" w:rsidP="005D123D">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序号</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ED49EA" w14:textId="77777777" w:rsidR="00055197" w:rsidRPr="009C2361" w:rsidRDefault="00055197" w:rsidP="005D123D">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证券账户名称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93BA0" w14:textId="77777777" w:rsidR="00055197" w:rsidRPr="009C2361" w:rsidRDefault="00055197" w:rsidP="005D123D">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限售份额（份）</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B123A6" w14:textId="77777777" w:rsidR="00055197" w:rsidRPr="009C2361" w:rsidRDefault="00055197" w:rsidP="005D123D">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限售类型</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15C74" w14:textId="77777777" w:rsidR="00055197" w:rsidRPr="009C2361" w:rsidRDefault="00055197" w:rsidP="005D123D">
            <w:pPr>
              <w:snapToGrid w:val="0"/>
              <w:jc w:val="center"/>
              <w:rPr>
                <w:rFonts w:asciiTheme="minorEastAsia" w:eastAsiaTheme="minorEastAsia" w:hAnsiTheme="minorEastAsia"/>
                <w:b/>
                <w:sz w:val="24"/>
                <w:szCs w:val="24"/>
              </w:rPr>
            </w:pPr>
            <w:r w:rsidRPr="009C2361">
              <w:rPr>
                <w:rFonts w:asciiTheme="minorEastAsia" w:eastAsiaTheme="minorEastAsia" w:hAnsiTheme="minorEastAsia" w:hint="eastAsia"/>
                <w:b/>
                <w:sz w:val="24"/>
                <w:szCs w:val="24"/>
              </w:rPr>
              <w:t>限售期（月）</w:t>
            </w:r>
          </w:p>
        </w:tc>
      </w:tr>
      <w:tr w:rsidR="005A7AEB" w:rsidRPr="009C2361" w14:paraId="4C78B3FE" w14:textId="77777777" w:rsidTr="00F8785C">
        <w:trPr>
          <w:trHeight w:val="319"/>
        </w:trPr>
        <w:tc>
          <w:tcPr>
            <w:tcW w:w="709" w:type="dxa"/>
            <w:tcBorders>
              <w:top w:val="single" w:sz="4" w:space="0" w:color="auto"/>
              <w:left w:val="single" w:sz="4" w:space="0" w:color="auto"/>
              <w:bottom w:val="single" w:sz="4" w:space="0" w:color="auto"/>
              <w:right w:val="single" w:sz="4" w:space="0" w:color="auto"/>
            </w:tcBorders>
            <w:vAlign w:val="center"/>
          </w:tcPr>
          <w:p w14:paraId="0695A8EB" w14:textId="14A6BED4"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w:t>
            </w:r>
          </w:p>
        </w:tc>
        <w:tc>
          <w:tcPr>
            <w:tcW w:w="2239" w:type="dxa"/>
            <w:tcBorders>
              <w:top w:val="single" w:sz="4" w:space="0" w:color="auto"/>
              <w:left w:val="single" w:sz="4" w:space="0" w:color="auto"/>
              <w:bottom w:val="single" w:sz="4" w:space="0" w:color="auto"/>
              <w:right w:val="single" w:sz="4" w:space="0" w:color="auto"/>
            </w:tcBorders>
            <w:vAlign w:val="center"/>
          </w:tcPr>
          <w:p w14:paraId="367DEFA0" w14:textId="5BF39378"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富国基金智享8号FOF集合资产管理计划</w:t>
            </w:r>
          </w:p>
        </w:tc>
        <w:tc>
          <w:tcPr>
            <w:tcW w:w="2552" w:type="dxa"/>
            <w:tcBorders>
              <w:top w:val="single" w:sz="4" w:space="0" w:color="auto"/>
              <w:left w:val="single" w:sz="4" w:space="0" w:color="auto"/>
              <w:bottom w:val="single" w:sz="4" w:space="0" w:color="auto"/>
              <w:right w:val="single" w:sz="4" w:space="0" w:color="auto"/>
            </w:tcBorders>
            <w:vAlign w:val="center"/>
          </w:tcPr>
          <w:p w14:paraId="185EA611" w14:textId="2A6D553C"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 xml:space="preserve">   15,000,000.00 </w:t>
            </w:r>
          </w:p>
        </w:tc>
        <w:tc>
          <w:tcPr>
            <w:tcW w:w="2268" w:type="dxa"/>
            <w:tcBorders>
              <w:top w:val="single" w:sz="4" w:space="0" w:color="auto"/>
              <w:left w:val="single" w:sz="4" w:space="0" w:color="auto"/>
              <w:bottom w:val="single" w:sz="4" w:space="0" w:color="auto"/>
              <w:right w:val="single" w:sz="4" w:space="0" w:color="auto"/>
            </w:tcBorders>
          </w:tcPr>
          <w:p w14:paraId="0215A4F5" w14:textId="3F6BB531" w:rsidR="005A7AEB" w:rsidRPr="009C2361" w:rsidRDefault="005A7AEB" w:rsidP="005A7AEB">
            <w:pPr>
              <w:snapToGrid w:val="0"/>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其他专业机构投资者战略配售限售</w:t>
            </w:r>
          </w:p>
        </w:tc>
        <w:tc>
          <w:tcPr>
            <w:tcW w:w="1588" w:type="dxa"/>
            <w:tcBorders>
              <w:top w:val="single" w:sz="4" w:space="0" w:color="auto"/>
              <w:left w:val="single" w:sz="4" w:space="0" w:color="auto"/>
              <w:bottom w:val="single" w:sz="4" w:space="0" w:color="auto"/>
              <w:right w:val="single" w:sz="4" w:space="0" w:color="auto"/>
            </w:tcBorders>
            <w:vAlign w:val="center"/>
          </w:tcPr>
          <w:p w14:paraId="1366091F" w14:textId="2212DCD6"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12</w:t>
            </w:r>
          </w:p>
        </w:tc>
      </w:tr>
      <w:tr w:rsidR="005A7AEB" w:rsidRPr="009C2361" w14:paraId="1BB4C905" w14:textId="77777777" w:rsidTr="00F8785C">
        <w:trPr>
          <w:trHeight w:val="319"/>
        </w:trPr>
        <w:tc>
          <w:tcPr>
            <w:tcW w:w="709" w:type="dxa"/>
            <w:tcBorders>
              <w:top w:val="single" w:sz="4" w:space="0" w:color="auto"/>
              <w:left w:val="single" w:sz="4" w:space="0" w:color="auto"/>
              <w:bottom w:val="single" w:sz="4" w:space="0" w:color="auto"/>
              <w:right w:val="single" w:sz="4" w:space="0" w:color="auto"/>
            </w:tcBorders>
            <w:vAlign w:val="center"/>
          </w:tcPr>
          <w:p w14:paraId="03F49AA3" w14:textId="48AED4E2"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2</w:t>
            </w:r>
          </w:p>
        </w:tc>
        <w:tc>
          <w:tcPr>
            <w:tcW w:w="2239" w:type="dxa"/>
            <w:tcBorders>
              <w:top w:val="single" w:sz="4" w:space="0" w:color="auto"/>
              <w:left w:val="single" w:sz="4" w:space="0" w:color="auto"/>
              <w:bottom w:val="single" w:sz="4" w:space="0" w:color="auto"/>
              <w:right w:val="single" w:sz="4" w:space="0" w:color="auto"/>
            </w:tcBorders>
            <w:vAlign w:val="center"/>
          </w:tcPr>
          <w:p w14:paraId="59DD20DA" w14:textId="7629C574"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工银瑞投－工银理财四海甄选集合资产管理计划</w:t>
            </w:r>
          </w:p>
        </w:tc>
        <w:tc>
          <w:tcPr>
            <w:tcW w:w="2552" w:type="dxa"/>
            <w:tcBorders>
              <w:top w:val="single" w:sz="4" w:space="0" w:color="auto"/>
              <w:left w:val="single" w:sz="4" w:space="0" w:color="auto"/>
              <w:bottom w:val="single" w:sz="4" w:space="0" w:color="auto"/>
              <w:right w:val="single" w:sz="4" w:space="0" w:color="auto"/>
            </w:tcBorders>
            <w:vAlign w:val="center"/>
          </w:tcPr>
          <w:p w14:paraId="13422988" w14:textId="3B88EDCD" w:rsidR="005A7AEB" w:rsidRPr="009C2361" w:rsidRDefault="005A7AEB" w:rsidP="005A7AEB">
            <w:pPr>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 xml:space="preserve">   12,500,000.00 </w:t>
            </w:r>
          </w:p>
        </w:tc>
        <w:tc>
          <w:tcPr>
            <w:tcW w:w="2268" w:type="dxa"/>
            <w:tcBorders>
              <w:top w:val="single" w:sz="4" w:space="0" w:color="auto"/>
              <w:left w:val="single" w:sz="4" w:space="0" w:color="auto"/>
              <w:bottom w:val="single" w:sz="4" w:space="0" w:color="auto"/>
              <w:right w:val="single" w:sz="4" w:space="0" w:color="auto"/>
            </w:tcBorders>
          </w:tcPr>
          <w:p w14:paraId="6C40142E" w14:textId="0F17924A" w:rsidR="005A7AEB" w:rsidRPr="009C2361" w:rsidRDefault="005A7AEB" w:rsidP="005A7AEB">
            <w:pPr>
              <w:snapToGrid w:val="0"/>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其他专业机构投资者战略配售限售</w:t>
            </w:r>
          </w:p>
        </w:tc>
        <w:tc>
          <w:tcPr>
            <w:tcW w:w="1588" w:type="dxa"/>
            <w:tcBorders>
              <w:top w:val="single" w:sz="4" w:space="0" w:color="auto"/>
              <w:left w:val="single" w:sz="4" w:space="0" w:color="auto"/>
              <w:bottom w:val="single" w:sz="4" w:space="0" w:color="auto"/>
              <w:right w:val="single" w:sz="4" w:space="0" w:color="auto"/>
            </w:tcBorders>
            <w:vAlign w:val="center"/>
          </w:tcPr>
          <w:p w14:paraId="71531761" w14:textId="1653D8EF" w:rsidR="005A7AEB" w:rsidRPr="009C2361" w:rsidRDefault="005A7AEB" w:rsidP="005A7AEB">
            <w:pPr>
              <w:snapToGrid w:val="0"/>
              <w:jc w:val="center"/>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12</w:t>
            </w:r>
          </w:p>
        </w:tc>
      </w:tr>
    </w:tbl>
    <w:p w14:paraId="50232A09" w14:textId="77777777" w:rsidR="008669EF" w:rsidRPr="009C2361" w:rsidRDefault="008669EF" w:rsidP="008669EF">
      <w:pPr>
        <w:pStyle w:val="a3"/>
        <w:snapToGrid w:val="0"/>
        <w:spacing w:before="0" w:beforeAutospacing="0" w:after="0" w:afterAutospacing="0" w:line="240" w:lineRule="auto"/>
        <w:ind w:firstLine="480"/>
        <w:jc w:val="both"/>
        <w:rPr>
          <w:rFonts w:asciiTheme="minorEastAsia" w:eastAsiaTheme="minorEastAsia" w:hAnsiTheme="minorEastAsia" w:cs="Times New Roman"/>
        </w:rPr>
      </w:pPr>
      <w:r w:rsidRPr="009C2361">
        <w:rPr>
          <w:rFonts w:asciiTheme="minorEastAsia" w:eastAsiaTheme="minorEastAsia" w:hAnsiTheme="minorEastAsia" w:cs="Times New Roman" w:hint="eastAsia"/>
        </w:rPr>
        <w:t>注：上述限售份额自2022年6月21日起满足解除限售条件。</w:t>
      </w:r>
    </w:p>
    <w:p w14:paraId="22CDE6FD" w14:textId="77777777" w:rsidR="008669EF" w:rsidRPr="009C2361" w:rsidRDefault="008669EF" w:rsidP="008669EF">
      <w:pPr>
        <w:pStyle w:val="a3"/>
        <w:snapToGrid w:val="0"/>
        <w:spacing w:before="0" w:beforeAutospacing="0" w:after="0" w:afterAutospacing="0" w:line="240" w:lineRule="auto"/>
        <w:ind w:firstLine="482"/>
        <w:jc w:val="both"/>
        <w:rPr>
          <w:rFonts w:asciiTheme="minorEastAsia" w:eastAsiaTheme="minorEastAsia" w:hAnsiTheme="minorEastAsia" w:cs="Times New Roman"/>
          <w:b/>
        </w:rPr>
      </w:pPr>
    </w:p>
    <w:p w14:paraId="7392A7CC" w14:textId="250DB03C" w:rsidR="00616D31" w:rsidRPr="009C2361" w:rsidRDefault="008669EF" w:rsidP="00055197">
      <w:pPr>
        <w:pStyle w:val="a3"/>
        <w:snapToGrid w:val="0"/>
        <w:spacing w:before="0" w:beforeAutospacing="0" w:after="0" w:afterAutospacing="0" w:line="240" w:lineRule="auto"/>
        <w:ind w:firstLine="482"/>
        <w:jc w:val="both"/>
        <w:rPr>
          <w:rFonts w:asciiTheme="minorEastAsia" w:eastAsiaTheme="minorEastAsia" w:hAnsiTheme="minorEastAsia" w:cs="Times New Roman"/>
          <w:b/>
        </w:rPr>
      </w:pPr>
      <w:r w:rsidRPr="009C2361">
        <w:rPr>
          <w:rFonts w:asciiTheme="minorEastAsia" w:eastAsiaTheme="minorEastAsia" w:hAnsiTheme="minorEastAsia" w:cs="Times New Roman" w:hint="eastAsia"/>
          <w:b/>
        </w:rPr>
        <w:t>2</w:t>
      </w:r>
      <w:r w:rsidRPr="009C2361">
        <w:rPr>
          <w:rFonts w:asciiTheme="minorEastAsia" w:eastAsiaTheme="minorEastAsia" w:hAnsiTheme="minorEastAsia" w:cs="Times New Roman"/>
          <w:b/>
        </w:rPr>
        <w:t>.</w:t>
      </w:r>
      <w:r w:rsidR="00616D31" w:rsidRPr="009C2361">
        <w:rPr>
          <w:rFonts w:asciiTheme="minorEastAsia" w:eastAsiaTheme="minorEastAsia" w:hAnsiTheme="minorEastAsia" w:cs="Times New Roman" w:hint="eastAsia"/>
          <w:b/>
        </w:rPr>
        <w:t>本次解除限售后剩余限售份额情况：</w:t>
      </w:r>
    </w:p>
    <w:p w14:paraId="34937BCE" w14:textId="2EDAACFF" w:rsidR="00055197" w:rsidRPr="009C2361" w:rsidRDefault="005A7AEB" w:rsidP="00055197">
      <w:pPr>
        <w:pStyle w:val="a3"/>
        <w:snapToGrid w:val="0"/>
        <w:spacing w:before="0" w:beforeAutospacing="0" w:after="0" w:afterAutospacing="0" w:line="240" w:lineRule="auto"/>
        <w:ind w:firstLine="480"/>
        <w:jc w:val="both"/>
        <w:rPr>
          <w:rFonts w:asciiTheme="minorEastAsia" w:eastAsiaTheme="minorEastAsia" w:hAnsiTheme="minorEastAsia" w:cs="Times New Roman"/>
        </w:rPr>
      </w:pPr>
      <w:r w:rsidRPr="009C2361">
        <w:rPr>
          <w:rFonts w:asciiTheme="minorEastAsia" w:eastAsiaTheme="minorEastAsia" w:hAnsiTheme="minorEastAsia" w:cs="Times New Roman"/>
        </w:rPr>
        <w:t>无</w:t>
      </w:r>
      <w:r w:rsidRPr="009C2361">
        <w:rPr>
          <w:rFonts w:asciiTheme="minorEastAsia" w:eastAsiaTheme="minorEastAsia" w:hAnsiTheme="minorEastAsia" w:cs="Times New Roman" w:hint="eastAsia"/>
        </w:rPr>
        <w:t>。</w:t>
      </w:r>
    </w:p>
    <w:p w14:paraId="425E4A20" w14:textId="35D63C2B" w:rsidR="00055197" w:rsidRPr="009C2361" w:rsidRDefault="00055197" w:rsidP="00F8785C">
      <w:pPr>
        <w:pStyle w:val="a3"/>
        <w:snapToGrid w:val="0"/>
        <w:spacing w:before="0" w:beforeAutospacing="0" w:after="0" w:afterAutospacing="0" w:line="240" w:lineRule="auto"/>
        <w:ind w:firstLineChars="0" w:firstLine="0"/>
        <w:jc w:val="both"/>
        <w:rPr>
          <w:rFonts w:asciiTheme="minorEastAsia" w:eastAsiaTheme="minorEastAsia" w:hAnsiTheme="minorEastAsia" w:cs="Times New Roman"/>
          <w:b/>
        </w:rPr>
      </w:pPr>
    </w:p>
    <w:p w14:paraId="604D02CA" w14:textId="61269273" w:rsidR="00055197" w:rsidRPr="009C2361" w:rsidRDefault="00055197" w:rsidP="00F8785C">
      <w:pPr>
        <w:widowControl/>
        <w:snapToGrid w:val="0"/>
        <w:spacing w:line="360" w:lineRule="auto"/>
        <w:ind w:firstLineChars="200" w:firstLine="482"/>
        <w:rPr>
          <w:rFonts w:asciiTheme="minorEastAsia" w:eastAsiaTheme="minorEastAsia" w:hAnsiTheme="minorEastAsia"/>
          <w:b/>
          <w:color w:val="000000"/>
          <w:sz w:val="24"/>
          <w:szCs w:val="24"/>
        </w:rPr>
      </w:pPr>
      <w:r w:rsidRPr="009C2361">
        <w:rPr>
          <w:rFonts w:asciiTheme="minorEastAsia" w:eastAsiaTheme="minorEastAsia" w:hAnsiTheme="minorEastAsia" w:hint="eastAsia"/>
          <w:b/>
          <w:color w:val="000000"/>
          <w:sz w:val="24"/>
          <w:szCs w:val="24"/>
        </w:rPr>
        <w:t>三、本次限售份额上市后流通份额变化情况</w:t>
      </w:r>
    </w:p>
    <w:p w14:paraId="0570F94C" w14:textId="55E5A4B5" w:rsidR="00055197" w:rsidRPr="009C2361" w:rsidRDefault="00055197" w:rsidP="00175F89">
      <w:pPr>
        <w:spacing w:line="360" w:lineRule="auto"/>
        <w:ind w:firstLineChars="200" w:firstLine="480"/>
        <w:jc w:val="both"/>
        <w:rPr>
          <w:rFonts w:asciiTheme="minorEastAsia" w:eastAsiaTheme="minorEastAsia" w:hAnsiTheme="minorEastAsia"/>
          <w:sz w:val="24"/>
          <w:szCs w:val="24"/>
        </w:rPr>
      </w:pPr>
      <w:r w:rsidRPr="009C2361">
        <w:rPr>
          <w:rFonts w:asciiTheme="minorEastAsia" w:eastAsiaTheme="minorEastAsia" w:hAnsiTheme="minorEastAsia" w:hint="eastAsia"/>
          <w:sz w:val="24"/>
          <w:szCs w:val="24"/>
        </w:rPr>
        <w:t>本次战略配售份额上市流通前，可在二级市场交易的本基金流通份额为</w:t>
      </w:r>
      <w:r w:rsidR="00653C6B" w:rsidRPr="009C2361">
        <w:rPr>
          <w:rFonts w:asciiTheme="minorEastAsia" w:eastAsiaTheme="minorEastAsia" w:hAnsiTheme="minorEastAsia"/>
          <w:sz w:val="24"/>
          <w:szCs w:val="24"/>
        </w:rPr>
        <w:t>120,000,000</w:t>
      </w:r>
      <w:r w:rsidRPr="009C2361">
        <w:rPr>
          <w:rFonts w:asciiTheme="minorEastAsia" w:eastAsiaTheme="minorEastAsia" w:hAnsiTheme="minorEastAsia" w:hint="eastAsia"/>
          <w:sz w:val="24"/>
          <w:szCs w:val="24"/>
        </w:rPr>
        <w:t>份，占本基金全部基金份额的</w:t>
      </w:r>
      <w:r w:rsidR="00653C6B" w:rsidRPr="009C2361">
        <w:rPr>
          <w:rFonts w:asciiTheme="minorEastAsia" w:eastAsiaTheme="minorEastAsia" w:hAnsiTheme="minorEastAsia"/>
          <w:sz w:val="24"/>
          <w:szCs w:val="24"/>
        </w:rPr>
        <w:t>24</w:t>
      </w:r>
      <w:r w:rsidRPr="009C2361">
        <w:rPr>
          <w:rFonts w:asciiTheme="minorEastAsia" w:eastAsiaTheme="minorEastAsia" w:hAnsiTheme="minorEastAsia" w:hint="eastAsia"/>
          <w:sz w:val="24"/>
          <w:szCs w:val="24"/>
        </w:rPr>
        <w:t>%。本次战略配售份额解禁后，可流通份额合计为</w:t>
      </w:r>
      <w:r w:rsidR="00653C6B" w:rsidRPr="009C2361">
        <w:rPr>
          <w:rFonts w:asciiTheme="minorEastAsia" w:eastAsiaTheme="minorEastAsia" w:hAnsiTheme="minorEastAsia"/>
          <w:sz w:val="24"/>
          <w:szCs w:val="24"/>
        </w:rPr>
        <w:t>245,000</w:t>
      </w:r>
      <w:r w:rsidR="00653C6B" w:rsidRPr="009C2361">
        <w:rPr>
          <w:rFonts w:asciiTheme="minorEastAsia" w:eastAsiaTheme="minorEastAsia" w:hAnsiTheme="minorEastAsia" w:hint="eastAsia"/>
          <w:sz w:val="24"/>
          <w:szCs w:val="24"/>
        </w:rPr>
        <w:t>,</w:t>
      </w:r>
      <w:r w:rsidR="00653C6B" w:rsidRPr="009C2361">
        <w:rPr>
          <w:rFonts w:asciiTheme="minorEastAsia" w:eastAsiaTheme="minorEastAsia" w:hAnsiTheme="minorEastAsia"/>
          <w:sz w:val="24"/>
          <w:szCs w:val="24"/>
        </w:rPr>
        <w:t>000</w:t>
      </w:r>
      <w:r w:rsidRPr="009C2361">
        <w:rPr>
          <w:rFonts w:asciiTheme="minorEastAsia" w:eastAsiaTheme="minorEastAsia" w:hAnsiTheme="minorEastAsia" w:hint="eastAsia"/>
          <w:sz w:val="24"/>
          <w:szCs w:val="24"/>
        </w:rPr>
        <w:t>份，占本基金全部基金份额的</w:t>
      </w:r>
      <w:r w:rsidR="00653C6B" w:rsidRPr="009C2361">
        <w:rPr>
          <w:rFonts w:asciiTheme="minorEastAsia" w:eastAsiaTheme="minorEastAsia" w:hAnsiTheme="minorEastAsia"/>
          <w:sz w:val="24"/>
          <w:szCs w:val="24"/>
        </w:rPr>
        <w:t>49</w:t>
      </w:r>
      <w:r w:rsidRPr="009C2361">
        <w:rPr>
          <w:rFonts w:asciiTheme="minorEastAsia" w:eastAsiaTheme="minorEastAsia" w:hAnsiTheme="minorEastAsia" w:hint="eastAsia"/>
          <w:sz w:val="24"/>
          <w:szCs w:val="24"/>
        </w:rPr>
        <w:t>%。</w:t>
      </w:r>
      <w:r w:rsidR="00ED37A2" w:rsidRPr="009C2361">
        <w:rPr>
          <w:rFonts w:asciiTheme="minorEastAsia" w:eastAsiaTheme="minorEastAsia" w:hAnsiTheme="minorEastAsia" w:hint="eastAsia"/>
          <w:sz w:val="24"/>
          <w:szCs w:val="24"/>
        </w:rPr>
        <w:t>前述流通份额均包括场外份额，</w:t>
      </w:r>
      <w:r w:rsidR="007D5B9C" w:rsidRPr="009C2361">
        <w:rPr>
          <w:rFonts w:asciiTheme="minorEastAsia" w:eastAsiaTheme="minorEastAsia" w:hAnsiTheme="minorEastAsia" w:hint="eastAsia"/>
          <w:sz w:val="24"/>
          <w:szCs w:val="24"/>
        </w:rPr>
        <w:t>场外份额</w:t>
      </w:r>
      <w:r w:rsidR="00ED37A2" w:rsidRPr="009C2361">
        <w:rPr>
          <w:rFonts w:asciiTheme="minorEastAsia" w:eastAsiaTheme="minorEastAsia" w:hAnsiTheme="minorEastAsia" w:hint="eastAsia"/>
          <w:sz w:val="24"/>
          <w:szCs w:val="24"/>
        </w:rPr>
        <w:t>在符合相关办理条件的前提下通过跨系统转托管至场内后即可上市流通</w:t>
      </w:r>
      <w:r w:rsidR="007D5B9C" w:rsidRPr="009C2361">
        <w:rPr>
          <w:rFonts w:asciiTheme="minorEastAsia" w:eastAsiaTheme="minorEastAsia" w:hAnsiTheme="minorEastAsia" w:hint="eastAsia"/>
          <w:sz w:val="24"/>
          <w:szCs w:val="24"/>
        </w:rPr>
        <w:t>，也可通过基金通平台办理场外份额交易服务（仅限卖出）</w:t>
      </w:r>
      <w:r w:rsidR="00ED37A2" w:rsidRPr="009C2361">
        <w:rPr>
          <w:rFonts w:asciiTheme="minorEastAsia" w:eastAsiaTheme="minorEastAsia" w:hAnsiTheme="minorEastAsia" w:hint="eastAsia"/>
          <w:sz w:val="24"/>
          <w:szCs w:val="24"/>
        </w:rPr>
        <w:t>。</w:t>
      </w:r>
    </w:p>
    <w:p w14:paraId="76181FE4" w14:textId="77777777" w:rsidR="00653C6B" w:rsidRPr="009C2361" w:rsidRDefault="00653C6B" w:rsidP="00F8785C">
      <w:pPr>
        <w:widowControl/>
        <w:snapToGrid w:val="0"/>
        <w:spacing w:line="360" w:lineRule="auto"/>
        <w:ind w:firstLineChars="200" w:firstLine="482"/>
        <w:rPr>
          <w:rFonts w:asciiTheme="minorEastAsia" w:eastAsiaTheme="minorEastAsia" w:hAnsiTheme="minorEastAsia"/>
          <w:b/>
          <w:color w:val="000000"/>
          <w:sz w:val="24"/>
          <w:szCs w:val="24"/>
        </w:rPr>
      </w:pPr>
    </w:p>
    <w:p w14:paraId="36835B6F" w14:textId="58C16AA7" w:rsidR="009C415D" w:rsidRPr="009C2361" w:rsidRDefault="00055197" w:rsidP="00F8785C">
      <w:pPr>
        <w:widowControl/>
        <w:snapToGrid w:val="0"/>
        <w:spacing w:line="360" w:lineRule="auto"/>
        <w:ind w:firstLineChars="200" w:firstLine="482"/>
        <w:rPr>
          <w:rFonts w:asciiTheme="minorEastAsia" w:eastAsiaTheme="minorEastAsia" w:hAnsiTheme="minorEastAsia"/>
          <w:b/>
          <w:color w:val="000000"/>
          <w:sz w:val="24"/>
          <w:szCs w:val="24"/>
        </w:rPr>
      </w:pPr>
      <w:r w:rsidRPr="009C2361">
        <w:rPr>
          <w:rFonts w:asciiTheme="minorEastAsia" w:eastAsiaTheme="minorEastAsia" w:hAnsiTheme="minorEastAsia" w:hint="eastAsia"/>
          <w:b/>
          <w:color w:val="000000"/>
          <w:sz w:val="24"/>
          <w:szCs w:val="24"/>
        </w:rPr>
        <w:t>四</w:t>
      </w:r>
      <w:r w:rsidR="009C415D" w:rsidRPr="009C2361">
        <w:rPr>
          <w:rFonts w:asciiTheme="minorEastAsia" w:eastAsiaTheme="minorEastAsia" w:hAnsiTheme="minorEastAsia" w:hint="eastAsia"/>
          <w:b/>
          <w:color w:val="000000"/>
          <w:sz w:val="24"/>
          <w:szCs w:val="24"/>
        </w:rPr>
        <w:t>、其他需要提示的事项</w:t>
      </w:r>
    </w:p>
    <w:p w14:paraId="197BD406" w14:textId="77777777" w:rsidR="00653C6B" w:rsidRPr="009C2361" w:rsidRDefault="00653C6B" w:rsidP="00653C6B">
      <w:pPr>
        <w:spacing w:line="360" w:lineRule="auto"/>
        <w:ind w:firstLineChars="200" w:firstLine="480"/>
        <w:rPr>
          <w:rFonts w:asciiTheme="minorEastAsia" w:eastAsiaTheme="minorEastAsia" w:hAnsiTheme="minorEastAsia"/>
          <w:sz w:val="24"/>
          <w:szCs w:val="24"/>
        </w:rPr>
      </w:pPr>
      <w:r w:rsidRPr="009C2361">
        <w:rPr>
          <w:rFonts w:asciiTheme="minorEastAsia" w:eastAsiaTheme="minorEastAsia" w:hAnsiTheme="minorEastAsia" w:hint="eastAsia"/>
          <w:sz w:val="24"/>
          <w:szCs w:val="24"/>
        </w:rPr>
        <w:t>（一）限售期安排</w:t>
      </w:r>
    </w:p>
    <w:p w14:paraId="3E81B46F" w14:textId="72694985" w:rsidR="00653C6B" w:rsidRPr="009C2361" w:rsidRDefault="00653C6B" w:rsidP="00175F89">
      <w:pPr>
        <w:spacing w:line="360" w:lineRule="auto"/>
        <w:ind w:firstLineChars="200" w:firstLine="480"/>
        <w:jc w:val="both"/>
        <w:rPr>
          <w:rFonts w:asciiTheme="minorEastAsia" w:eastAsiaTheme="minorEastAsia" w:hAnsiTheme="minorEastAsia"/>
          <w:sz w:val="24"/>
          <w:szCs w:val="24"/>
        </w:rPr>
      </w:pPr>
      <w:r w:rsidRPr="009C2361">
        <w:rPr>
          <w:rFonts w:asciiTheme="minorEastAsia" w:eastAsiaTheme="minorEastAsia" w:hAnsiTheme="minorEastAsia" w:hint="eastAsia"/>
          <w:sz w:val="24"/>
          <w:szCs w:val="24"/>
        </w:rPr>
        <w:t>本基金原始权益人北京首创生态环保集团股份有限公司（原名</w:t>
      </w:r>
      <w:r w:rsidR="00F8785C" w:rsidRPr="009C2361">
        <w:rPr>
          <w:rFonts w:asciiTheme="minorEastAsia" w:eastAsiaTheme="minorEastAsia" w:hAnsiTheme="minorEastAsia" w:hint="eastAsia"/>
          <w:sz w:val="24"/>
          <w:szCs w:val="24"/>
        </w:rPr>
        <w:t>:</w:t>
      </w:r>
      <w:r w:rsidRPr="009C2361">
        <w:rPr>
          <w:rFonts w:asciiTheme="minorEastAsia" w:eastAsiaTheme="minorEastAsia" w:hAnsiTheme="minorEastAsia" w:hint="eastAsia"/>
          <w:sz w:val="24"/>
          <w:szCs w:val="24"/>
        </w:rPr>
        <w:t>北京首创股份有限公司）所持战略配售的基金份额数量在本基金投资之深圳基础设施项目和合肥基础设施项目的特许经营权期限内（以届时存续的前述基础设施项目的特许经营权到期日孰晚为准）不得转让，且不得通过其他方式造成其持有份额产生权利瑕疵，如协议安排、融资、抵押、质押、保理等。</w:t>
      </w:r>
    </w:p>
    <w:p w14:paraId="10F3E064" w14:textId="77777777" w:rsidR="00653C6B" w:rsidRPr="009C2361" w:rsidRDefault="00653C6B" w:rsidP="00175F89">
      <w:pPr>
        <w:spacing w:line="360" w:lineRule="auto"/>
        <w:ind w:firstLineChars="200" w:firstLine="480"/>
        <w:jc w:val="both"/>
        <w:rPr>
          <w:rFonts w:asciiTheme="minorEastAsia" w:eastAsiaTheme="minorEastAsia" w:hAnsiTheme="minorEastAsia"/>
          <w:sz w:val="24"/>
          <w:szCs w:val="24"/>
        </w:rPr>
      </w:pPr>
      <w:r w:rsidRPr="009C2361">
        <w:rPr>
          <w:rFonts w:asciiTheme="minorEastAsia" w:eastAsiaTheme="minorEastAsia" w:hAnsiTheme="minorEastAsia" w:hint="eastAsia"/>
          <w:sz w:val="24"/>
          <w:szCs w:val="24"/>
        </w:rPr>
        <w:t>其他战略配售投资者获得配售的本基金份额持有期自基金上市之日起</w:t>
      </w:r>
      <w:r w:rsidRPr="009C2361">
        <w:rPr>
          <w:rFonts w:asciiTheme="minorEastAsia" w:eastAsiaTheme="minorEastAsia" w:hAnsiTheme="minorEastAsia"/>
          <w:sz w:val="24"/>
          <w:szCs w:val="24"/>
        </w:rPr>
        <w:t>12个月。</w:t>
      </w:r>
    </w:p>
    <w:p w14:paraId="76F41C8A" w14:textId="77777777" w:rsidR="00653C6B" w:rsidRPr="009C2361" w:rsidRDefault="00653C6B" w:rsidP="00653C6B">
      <w:pPr>
        <w:spacing w:line="360" w:lineRule="auto"/>
        <w:ind w:firstLineChars="200" w:firstLine="480"/>
        <w:rPr>
          <w:rFonts w:asciiTheme="minorEastAsia" w:eastAsiaTheme="minorEastAsia" w:hAnsiTheme="minorEastAsia"/>
          <w:sz w:val="24"/>
          <w:szCs w:val="24"/>
        </w:rPr>
      </w:pPr>
      <w:r w:rsidRPr="009C2361">
        <w:rPr>
          <w:rFonts w:asciiTheme="minorEastAsia" w:eastAsiaTheme="minorEastAsia" w:hAnsiTheme="minorEastAsia" w:hint="eastAsia"/>
          <w:sz w:val="24"/>
          <w:szCs w:val="24"/>
        </w:rPr>
        <w:t>（二）净现金流分派率说明</w:t>
      </w:r>
    </w:p>
    <w:p w14:paraId="0DF7CD87" w14:textId="34FD8650" w:rsidR="00653C6B" w:rsidRPr="009C2361" w:rsidRDefault="00653C6B" w:rsidP="00175F89">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基金首次发行时的净现金流分派率预测值=预计年度可</w:t>
      </w:r>
      <w:r w:rsidR="00064182" w:rsidRPr="009C2361">
        <w:rPr>
          <w:rFonts w:asciiTheme="minorEastAsia" w:eastAsiaTheme="minorEastAsia" w:hAnsiTheme="minorEastAsia" w:hint="eastAsia"/>
          <w:color w:val="000000"/>
          <w:sz w:val="24"/>
          <w:szCs w:val="24"/>
        </w:rPr>
        <w:t>供</w:t>
      </w:r>
      <w:r w:rsidRPr="009C2361">
        <w:rPr>
          <w:rFonts w:asciiTheme="minorEastAsia" w:eastAsiaTheme="minorEastAsia" w:hAnsiTheme="minorEastAsia" w:hint="eastAsia"/>
          <w:color w:val="000000"/>
          <w:sz w:val="24"/>
          <w:szCs w:val="24"/>
        </w:rPr>
        <w:t>分配现金流/基金发行</w:t>
      </w:r>
      <w:r w:rsidR="003A00DA" w:rsidRPr="009C2361">
        <w:rPr>
          <w:rFonts w:asciiTheme="minorEastAsia" w:eastAsiaTheme="minorEastAsia" w:hAnsiTheme="minorEastAsia"/>
          <w:color w:val="000000"/>
          <w:sz w:val="24"/>
          <w:szCs w:val="24"/>
        </w:rPr>
        <w:t>规模</w:t>
      </w:r>
      <w:r w:rsidRPr="009C2361">
        <w:rPr>
          <w:rFonts w:asciiTheme="minorEastAsia" w:eastAsiaTheme="minorEastAsia" w:hAnsiTheme="minorEastAsia" w:hint="eastAsia"/>
          <w:color w:val="000000"/>
          <w:sz w:val="24"/>
          <w:szCs w:val="24"/>
        </w:rPr>
        <w:t>。对应到每个投资者的年度净现金流分派率</w:t>
      </w:r>
      <w:r w:rsidR="003A00DA" w:rsidRPr="009C2361">
        <w:rPr>
          <w:rFonts w:asciiTheme="minorEastAsia" w:eastAsiaTheme="minorEastAsia" w:hAnsiTheme="minorEastAsia" w:hint="eastAsia"/>
          <w:color w:val="000000"/>
          <w:sz w:val="24"/>
          <w:szCs w:val="24"/>
        </w:rPr>
        <w:t>预测值</w:t>
      </w:r>
      <w:r w:rsidRPr="009C2361">
        <w:rPr>
          <w:rFonts w:asciiTheme="minorEastAsia" w:eastAsiaTheme="minorEastAsia" w:hAnsiTheme="minorEastAsia" w:hint="eastAsia"/>
          <w:color w:val="000000"/>
          <w:sz w:val="24"/>
          <w:szCs w:val="24"/>
        </w:rPr>
        <w:t>=</w:t>
      </w:r>
      <w:r w:rsidR="003A00DA" w:rsidRPr="009C2361">
        <w:rPr>
          <w:rFonts w:asciiTheme="minorEastAsia" w:eastAsiaTheme="minorEastAsia" w:hAnsiTheme="minorEastAsia" w:hint="eastAsia"/>
          <w:color w:val="000000"/>
          <w:sz w:val="24"/>
          <w:szCs w:val="24"/>
        </w:rPr>
        <w:t>预计</w:t>
      </w:r>
      <w:r w:rsidRPr="009C2361">
        <w:rPr>
          <w:rFonts w:asciiTheme="minorEastAsia" w:eastAsiaTheme="minorEastAsia" w:hAnsiTheme="minorEastAsia" w:hint="eastAsia"/>
          <w:color w:val="000000"/>
          <w:sz w:val="24"/>
          <w:szCs w:val="24"/>
        </w:rPr>
        <w:t>年度</w:t>
      </w:r>
      <w:r w:rsidR="00487575" w:rsidRPr="009C2361">
        <w:rPr>
          <w:rFonts w:asciiTheme="minorEastAsia" w:eastAsiaTheme="minorEastAsia" w:hAnsiTheme="minorEastAsia" w:hint="eastAsia"/>
          <w:color w:val="000000"/>
          <w:sz w:val="24"/>
          <w:szCs w:val="24"/>
        </w:rPr>
        <w:t>可供分配现金流</w:t>
      </w:r>
      <w:r w:rsidRPr="009C2361">
        <w:rPr>
          <w:rFonts w:asciiTheme="minorEastAsia" w:eastAsiaTheme="minorEastAsia" w:hAnsiTheme="minorEastAsia" w:hint="eastAsia"/>
          <w:color w:val="000000"/>
          <w:sz w:val="24"/>
          <w:szCs w:val="24"/>
        </w:rPr>
        <w:t>/基金买入成本。二级市场交易价格上涨会导致买入成本上涨，导致投资者实际的净现金流分派率降低。</w:t>
      </w:r>
    </w:p>
    <w:p w14:paraId="76945D07" w14:textId="315E3F6C" w:rsidR="00653C6B" w:rsidRPr="009C2361" w:rsidRDefault="00653C6B" w:rsidP="00175F89">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根据</w:t>
      </w:r>
      <w:bookmarkStart w:id="0" w:name="_Hlk103945574"/>
      <w:r w:rsidR="003A00DA" w:rsidRPr="009C2361">
        <w:rPr>
          <w:rFonts w:asciiTheme="minorEastAsia" w:eastAsiaTheme="minorEastAsia" w:hAnsiTheme="minorEastAsia" w:hint="eastAsia"/>
          <w:color w:val="000000"/>
          <w:sz w:val="24"/>
          <w:szCs w:val="24"/>
        </w:rPr>
        <w:t>《富国首创水务封闭式基础设施证券投资基金招募说明书》及《富国首创水务封闭式基础设施证券投资基金2</w:t>
      </w:r>
      <w:r w:rsidR="003A00DA" w:rsidRPr="009C2361">
        <w:rPr>
          <w:rFonts w:asciiTheme="minorEastAsia" w:eastAsiaTheme="minorEastAsia" w:hAnsiTheme="minorEastAsia"/>
          <w:color w:val="000000"/>
          <w:sz w:val="24"/>
          <w:szCs w:val="24"/>
        </w:rPr>
        <w:t>021</w:t>
      </w:r>
      <w:r w:rsidR="003A00DA" w:rsidRPr="009C2361">
        <w:rPr>
          <w:rFonts w:asciiTheme="minorEastAsia" w:eastAsiaTheme="minorEastAsia" w:hAnsiTheme="minorEastAsia" w:hint="eastAsia"/>
          <w:color w:val="000000"/>
          <w:sz w:val="24"/>
          <w:szCs w:val="24"/>
        </w:rPr>
        <w:t>年年度报告》</w:t>
      </w:r>
      <w:bookmarkEnd w:id="0"/>
      <w:r w:rsidRPr="009C2361">
        <w:rPr>
          <w:rFonts w:asciiTheme="minorEastAsia" w:eastAsiaTheme="minorEastAsia" w:hAnsiTheme="minorEastAsia" w:hint="eastAsia"/>
          <w:color w:val="000000"/>
          <w:sz w:val="24"/>
          <w:szCs w:val="24"/>
        </w:rPr>
        <w:t>，</w:t>
      </w:r>
      <w:r w:rsidR="00706FC8" w:rsidRPr="009C2361">
        <w:rPr>
          <w:rFonts w:asciiTheme="minorEastAsia" w:eastAsiaTheme="minorEastAsia" w:hAnsiTheme="minorEastAsia" w:hint="eastAsia"/>
          <w:color w:val="000000"/>
          <w:sz w:val="24"/>
          <w:szCs w:val="24"/>
        </w:rPr>
        <w:t>本基金在2021年年报中披露的2</w:t>
      </w:r>
      <w:r w:rsidR="00706FC8" w:rsidRPr="009C2361">
        <w:rPr>
          <w:rFonts w:asciiTheme="minorEastAsia" w:eastAsiaTheme="minorEastAsia" w:hAnsiTheme="minorEastAsia"/>
          <w:color w:val="000000"/>
          <w:sz w:val="24"/>
          <w:szCs w:val="24"/>
        </w:rPr>
        <w:t>021年</w:t>
      </w:r>
      <w:r w:rsidR="00706FC8" w:rsidRPr="009C2361">
        <w:rPr>
          <w:rFonts w:asciiTheme="minorEastAsia" w:eastAsiaTheme="minorEastAsia" w:hAnsiTheme="minorEastAsia" w:hint="eastAsia"/>
          <w:color w:val="000000"/>
          <w:sz w:val="24"/>
          <w:szCs w:val="24"/>
        </w:rPr>
        <w:t>可供分配金额为</w:t>
      </w:r>
      <w:r w:rsidR="00706FC8" w:rsidRPr="009C2361">
        <w:rPr>
          <w:rFonts w:asciiTheme="minorEastAsia" w:eastAsiaTheme="minorEastAsia" w:hAnsiTheme="minorEastAsia"/>
          <w:color w:val="000000"/>
          <w:sz w:val="24"/>
          <w:szCs w:val="24"/>
        </w:rPr>
        <w:t>137,151,587.50</w:t>
      </w:r>
      <w:r w:rsidR="00706FC8" w:rsidRPr="009C2361">
        <w:rPr>
          <w:rFonts w:asciiTheme="minorEastAsia" w:eastAsiaTheme="minorEastAsia" w:hAnsiTheme="minorEastAsia" w:hint="eastAsia"/>
          <w:color w:val="000000"/>
          <w:sz w:val="24"/>
          <w:szCs w:val="24"/>
        </w:rPr>
        <w:t>元，在招募说明书中披露的2022年度预测的可供分配金额为</w:t>
      </w:r>
      <w:r w:rsidR="00706FC8" w:rsidRPr="009C2361">
        <w:rPr>
          <w:rFonts w:asciiTheme="minorEastAsia" w:eastAsiaTheme="minorEastAsia" w:hAnsiTheme="minorEastAsia"/>
          <w:color w:val="000000"/>
          <w:sz w:val="24"/>
          <w:szCs w:val="24"/>
        </w:rPr>
        <w:t>167,981,610.89</w:t>
      </w:r>
      <w:r w:rsidR="00706FC8" w:rsidRPr="009C2361">
        <w:rPr>
          <w:rFonts w:asciiTheme="minorEastAsia" w:eastAsiaTheme="minorEastAsia" w:hAnsiTheme="minorEastAsia" w:hint="eastAsia"/>
          <w:color w:val="000000"/>
          <w:sz w:val="24"/>
          <w:szCs w:val="24"/>
        </w:rPr>
        <w:t>元</w:t>
      </w:r>
      <w:r w:rsidRPr="009C2361">
        <w:rPr>
          <w:rFonts w:asciiTheme="minorEastAsia" w:eastAsiaTheme="minorEastAsia" w:hAnsiTheme="minorEastAsia" w:hint="eastAsia"/>
          <w:color w:val="000000"/>
          <w:sz w:val="24"/>
          <w:szCs w:val="24"/>
        </w:rPr>
        <w:t>。净现金流分派率的计算方法举例说明如下：</w:t>
      </w:r>
    </w:p>
    <w:p w14:paraId="34C1BD18" w14:textId="3D0EFFD7" w:rsidR="00653C6B" w:rsidRPr="009C2361" w:rsidRDefault="00653C6B" w:rsidP="00175F89">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color w:val="000000"/>
          <w:sz w:val="24"/>
          <w:szCs w:val="24"/>
        </w:rPr>
        <w:t>1、投资者在首次发行时买入本基金，买入价格3.700元/份，该投资者的2021年</w:t>
      </w:r>
      <w:r w:rsidR="000E3E81" w:rsidRPr="009C2361">
        <w:rPr>
          <w:rFonts w:asciiTheme="minorEastAsia" w:eastAsiaTheme="minorEastAsia" w:hAnsiTheme="minorEastAsia" w:hint="eastAsia"/>
          <w:color w:val="000000"/>
          <w:sz w:val="24"/>
          <w:szCs w:val="24"/>
        </w:rPr>
        <w:t>测算</w:t>
      </w:r>
      <w:r w:rsidRPr="009C2361">
        <w:rPr>
          <w:rFonts w:asciiTheme="minorEastAsia" w:eastAsiaTheme="minorEastAsia" w:hAnsiTheme="minorEastAsia"/>
          <w:color w:val="000000"/>
          <w:sz w:val="24"/>
          <w:szCs w:val="24"/>
        </w:rPr>
        <w:t>净现金流分派率=</w:t>
      </w:r>
      <w:r w:rsidR="006248BE" w:rsidRPr="009C2361">
        <w:rPr>
          <w:rFonts w:asciiTheme="minorEastAsia" w:eastAsiaTheme="minorEastAsia" w:hAnsiTheme="minorEastAsia" w:hint="eastAsia"/>
          <w:color w:val="000000"/>
          <w:sz w:val="24"/>
          <w:szCs w:val="24"/>
        </w:rPr>
        <w:t>（</w:t>
      </w:r>
      <w:r w:rsidR="006248BE" w:rsidRPr="009C2361">
        <w:rPr>
          <w:rFonts w:asciiTheme="minorEastAsia" w:eastAsiaTheme="minorEastAsia" w:hAnsiTheme="minorEastAsia"/>
          <w:color w:val="000000"/>
          <w:sz w:val="24"/>
          <w:szCs w:val="24"/>
        </w:rPr>
        <w:t>137,151,587.50/500</w:t>
      </w:r>
      <w:r w:rsidR="006248BE" w:rsidRPr="009C2361">
        <w:rPr>
          <w:rFonts w:asciiTheme="minorEastAsia" w:eastAsiaTheme="minorEastAsia" w:hAnsiTheme="minorEastAsia" w:hint="eastAsia"/>
          <w:color w:val="000000"/>
          <w:sz w:val="24"/>
          <w:szCs w:val="24"/>
        </w:rPr>
        <w:t>,</w:t>
      </w:r>
      <w:r w:rsidR="006248BE" w:rsidRPr="009C2361">
        <w:rPr>
          <w:rFonts w:asciiTheme="minorEastAsia" w:eastAsiaTheme="minorEastAsia" w:hAnsiTheme="minorEastAsia"/>
          <w:color w:val="000000"/>
          <w:sz w:val="24"/>
          <w:szCs w:val="24"/>
        </w:rPr>
        <w:t>000</w:t>
      </w:r>
      <w:r w:rsidR="006248BE" w:rsidRPr="009C2361">
        <w:rPr>
          <w:rFonts w:asciiTheme="minorEastAsia" w:eastAsiaTheme="minorEastAsia" w:hAnsiTheme="minorEastAsia" w:hint="eastAsia"/>
          <w:color w:val="000000"/>
          <w:sz w:val="24"/>
          <w:szCs w:val="24"/>
        </w:rPr>
        <w:t>,</w:t>
      </w:r>
      <w:r w:rsidR="006248BE" w:rsidRPr="009C2361">
        <w:rPr>
          <w:rFonts w:asciiTheme="minorEastAsia" w:eastAsiaTheme="minorEastAsia" w:hAnsiTheme="minorEastAsia"/>
          <w:color w:val="000000"/>
          <w:sz w:val="24"/>
          <w:szCs w:val="24"/>
        </w:rPr>
        <w:t>000</w:t>
      </w:r>
      <w:r w:rsidR="006248BE" w:rsidRPr="009C2361">
        <w:rPr>
          <w:rFonts w:asciiTheme="minorEastAsia" w:eastAsiaTheme="minorEastAsia" w:hAnsiTheme="minorEastAsia" w:hint="eastAsia"/>
          <w:color w:val="000000"/>
          <w:sz w:val="24"/>
          <w:szCs w:val="24"/>
        </w:rPr>
        <w:t>）</w:t>
      </w:r>
      <w:r w:rsidRPr="009C2361">
        <w:rPr>
          <w:rFonts w:asciiTheme="minorEastAsia" w:eastAsiaTheme="minorEastAsia" w:hAnsiTheme="minorEastAsia"/>
          <w:color w:val="000000"/>
          <w:sz w:val="24"/>
          <w:szCs w:val="24"/>
        </w:rPr>
        <w:t>/</w:t>
      </w:r>
      <w:r w:rsidR="000E3E81" w:rsidRPr="009C2361">
        <w:rPr>
          <w:rFonts w:asciiTheme="minorEastAsia" w:eastAsiaTheme="minorEastAsia" w:hAnsiTheme="minorEastAsia" w:hint="eastAsia"/>
          <w:color w:val="000000"/>
          <w:sz w:val="24"/>
          <w:szCs w:val="24"/>
        </w:rPr>
        <w:t>3</w:t>
      </w:r>
      <w:r w:rsidR="000E3E81" w:rsidRPr="009C2361">
        <w:rPr>
          <w:rFonts w:asciiTheme="minorEastAsia" w:eastAsiaTheme="minorEastAsia" w:hAnsiTheme="minorEastAsia"/>
          <w:color w:val="000000"/>
          <w:sz w:val="24"/>
          <w:szCs w:val="24"/>
        </w:rPr>
        <w:t>.7</w:t>
      </w:r>
      <w:r w:rsidRPr="009C2361">
        <w:rPr>
          <w:rFonts w:asciiTheme="minorEastAsia" w:eastAsiaTheme="minorEastAsia" w:hAnsiTheme="minorEastAsia"/>
          <w:color w:val="000000"/>
          <w:sz w:val="24"/>
          <w:szCs w:val="24"/>
        </w:rPr>
        <w:t>=</w:t>
      </w:r>
      <w:r w:rsidR="00064182" w:rsidRPr="009C2361">
        <w:rPr>
          <w:rFonts w:asciiTheme="minorEastAsia" w:eastAsiaTheme="minorEastAsia" w:hAnsiTheme="minorEastAsia"/>
          <w:color w:val="000000"/>
          <w:sz w:val="24"/>
          <w:szCs w:val="24"/>
        </w:rPr>
        <w:t>7.41</w:t>
      </w:r>
      <w:r w:rsidRPr="009C2361">
        <w:rPr>
          <w:rFonts w:asciiTheme="minorEastAsia" w:eastAsiaTheme="minorEastAsia" w:hAnsiTheme="minorEastAsia"/>
          <w:color w:val="000000"/>
          <w:sz w:val="24"/>
          <w:szCs w:val="24"/>
        </w:rPr>
        <w:t>%。</w:t>
      </w:r>
    </w:p>
    <w:p w14:paraId="07801CC3" w14:textId="6BCD929D" w:rsidR="00653C6B" w:rsidRPr="009C2361" w:rsidRDefault="00653C6B" w:rsidP="00175F89">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color w:val="000000"/>
          <w:sz w:val="24"/>
          <w:szCs w:val="24"/>
        </w:rPr>
        <w:t>2、投资者在</w:t>
      </w:r>
      <w:r w:rsidR="009C2361" w:rsidRPr="009C2361">
        <w:rPr>
          <w:rFonts w:asciiTheme="minorEastAsia" w:eastAsiaTheme="minorEastAsia" w:hAnsiTheme="minorEastAsia" w:hint="eastAsia"/>
          <w:color w:val="000000"/>
          <w:sz w:val="24"/>
          <w:szCs w:val="24"/>
        </w:rPr>
        <w:t>2</w:t>
      </w:r>
      <w:r w:rsidR="009C2361" w:rsidRPr="009C2361">
        <w:rPr>
          <w:rFonts w:asciiTheme="minorEastAsia" w:eastAsiaTheme="minorEastAsia" w:hAnsiTheme="minorEastAsia"/>
          <w:color w:val="000000"/>
          <w:sz w:val="24"/>
          <w:szCs w:val="24"/>
        </w:rPr>
        <w:t>022</w:t>
      </w:r>
      <w:r w:rsidR="009C2361" w:rsidRPr="009C2361">
        <w:rPr>
          <w:rFonts w:asciiTheme="minorEastAsia" w:eastAsiaTheme="minorEastAsia" w:hAnsiTheme="minorEastAsia" w:hint="eastAsia"/>
          <w:color w:val="000000"/>
          <w:sz w:val="24"/>
          <w:szCs w:val="24"/>
        </w:rPr>
        <w:t>年</w:t>
      </w:r>
      <w:r w:rsidR="009C2361">
        <w:rPr>
          <w:rFonts w:asciiTheme="minorEastAsia" w:eastAsiaTheme="minorEastAsia" w:hAnsiTheme="minorEastAsia"/>
          <w:color w:val="000000"/>
          <w:sz w:val="24"/>
          <w:szCs w:val="24"/>
        </w:rPr>
        <w:t>6</w:t>
      </w:r>
      <w:r w:rsidR="006248BE" w:rsidRPr="009C2361">
        <w:rPr>
          <w:rFonts w:asciiTheme="minorEastAsia" w:eastAsiaTheme="minorEastAsia" w:hAnsiTheme="minorEastAsia" w:hint="eastAsia"/>
          <w:color w:val="000000"/>
          <w:sz w:val="24"/>
          <w:szCs w:val="24"/>
        </w:rPr>
        <w:t>月</w:t>
      </w:r>
      <w:r w:rsidR="009C2361">
        <w:rPr>
          <w:rFonts w:asciiTheme="minorEastAsia" w:eastAsiaTheme="minorEastAsia" w:hAnsiTheme="minorEastAsia"/>
          <w:color w:val="000000"/>
          <w:sz w:val="24"/>
          <w:szCs w:val="24"/>
        </w:rPr>
        <w:t>7</w:t>
      </w:r>
      <w:r w:rsidR="006248BE" w:rsidRPr="009C2361">
        <w:rPr>
          <w:rFonts w:asciiTheme="minorEastAsia" w:eastAsiaTheme="minorEastAsia" w:hAnsiTheme="minorEastAsia" w:hint="eastAsia"/>
          <w:color w:val="000000"/>
          <w:sz w:val="24"/>
          <w:szCs w:val="24"/>
        </w:rPr>
        <w:t>日</w:t>
      </w:r>
      <w:r w:rsidRPr="009C2361">
        <w:rPr>
          <w:rFonts w:asciiTheme="minorEastAsia" w:eastAsiaTheme="minorEastAsia" w:hAnsiTheme="minorEastAsia"/>
          <w:color w:val="000000"/>
          <w:sz w:val="24"/>
          <w:szCs w:val="24"/>
        </w:rPr>
        <w:t>通过二级市场交易买入本基金，</w:t>
      </w:r>
      <w:r w:rsidR="000E3E81" w:rsidRPr="009C2361">
        <w:rPr>
          <w:rFonts w:asciiTheme="minorEastAsia" w:eastAsiaTheme="minorEastAsia" w:hAnsiTheme="minorEastAsia" w:hint="eastAsia"/>
          <w:color w:val="000000"/>
          <w:sz w:val="24"/>
          <w:szCs w:val="24"/>
        </w:rPr>
        <w:t>假设</w:t>
      </w:r>
      <w:r w:rsidRPr="009C2361">
        <w:rPr>
          <w:rFonts w:asciiTheme="minorEastAsia" w:eastAsiaTheme="minorEastAsia" w:hAnsiTheme="minorEastAsia" w:hint="eastAsia"/>
          <w:color w:val="000000"/>
          <w:sz w:val="24"/>
          <w:szCs w:val="24"/>
        </w:rPr>
        <w:t>买入价格</w:t>
      </w:r>
      <w:r w:rsidR="000E3E81" w:rsidRPr="009C2361">
        <w:rPr>
          <w:rFonts w:asciiTheme="minorEastAsia" w:eastAsiaTheme="minorEastAsia" w:hAnsiTheme="minorEastAsia"/>
          <w:color w:val="000000"/>
          <w:sz w:val="24"/>
          <w:szCs w:val="24"/>
        </w:rPr>
        <w:t>5.</w:t>
      </w:r>
      <w:r w:rsidR="000F3FB6">
        <w:rPr>
          <w:rFonts w:asciiTheme="minorEastAsia" w:eastAsiaTheme="minorEastAsia" w:hAnsiTheme="minorEastAsia"/>
          <w:color w:val="000000"/>
          <w:sz w:val="24"/>
          <w:szCs w:val="24"/>
        </w:rPr>
        <w:t>415</w:t>
      </w:r>
      <w:r w:rsidRPr="009C2361">
        <w:rPr>
          <w:rFonts w:asciiTheme="minorEastAsia" w:eastAsiaTheme="minorEastAsia" w:hAnsiTheme="minorEastAsia" w:hint="eastAsia"/>
          <w:color w:val="000000"/>
          <w:sz w:val="24"/>
          <w:szCs w:val="24"/>
        </w:rPr>
        <w:t>元</w:t>
      </w:r>
      <w:r w:rsidRPr="009C2361">
        <w:rPr>
          <w:rFonts w:asciiTheme="minorEastAsia" w:eastAsiaTheme="minorEastAsia" w:hAnsiTheme="minorEastAsia"/>
          <w:color w:val="000000"/>
          <w:sz w:val="24"/>
          <w:szCs w:val="24"/>
        </w:rPr>
        <w:t>/份，该投资者的202</w:t>
      </w:r>
      <w:r w:rsidR="006248BE" w:rsidRPr="009C2361">
        <w:rPr>
          <w:rFonts w:asciiTheme="minorEastAsia" w:eastAsiaTheme="minorEastAsia" w:hAnsiTheme="minorEastAsia"/>
          <w:color w:val="000000"/>
          <w:sz w:val="24"/>
          <w:szCs w:val="24"/>
        </w:rPr>
        <w:t>2</w:t>
      </w:r>
      <w:r w:rsidRPr="009C2361">
        <w:rPr>
          <w:rFonts w:asciiTheme="minorEastAsia" w:eastAsiaTheme="minorEastAsia" w:hAnsiTheme="minorEastAsia"/>
          <w:color w:val="000000"/>
          <w:sz w:val="24"/>
          <w:szCs w:val="24"/>
        </w:rPr>
        <w:t>年度净现金流分派率</w:t>
      </w:r>
      <w:r w:rsidR="000E3E81" w:rsidRPr="009C2361">
        <w:rPr>
          <w:rFonts w:asciiTheme="minorEastAsia" w:eastAsiaTheme="minorEastAsia" w:hAnsiTheme="minorEastAsia"/>
          <w:color w:val="000000"/>
          <w:sz w:val="24"/>
          <w:szCs w:val="24"/>
        </w:rPr>
        <w:t>预测值</w:t>
      </w:r>
      <w:r w:rsidRPr="009C2361">
        <w:rPr>
          <w:rFonts w:asciiTheme="minorEastAsia" w:eastAsiaTheme="minorEastAsia" w:hAnsiTheme="minorEastAsia"/>
          <w:color w:val="000000"/>
          <w:sz w:val="24"/>
          <w:szCs w:val="24"/>
        </w:rPr>
        <w:t>=</w:t>
      </w:r>
      <w:r w:rsidR="006248BE" w:rsidRPr="009C2361">
        <w:rPr>
          <w:rFonts w:asciiTheme="minorEastAsia" w:eastAsiaTheme="minorEastAsia" w:hAnsiTheme="minorEastAsia" w:hint="eastAsia"/>
          <w:color w:val="000000"/>
          <w:sz w:val="24"/>
          <w:szCs w:val="24"/>
        </w:rPr>
        <w:t>（</w:t>
      </w:r>
      <w:r w:rsidR="006248BE" w:rsidRPr="009C2361">
        <w:rPr>
          <w:rFonts w:asciiTheme="minorEastAsia" w:eastAsiaTheme="minorEastAsia" w:hAnsiTheme="minorEastAsia"/>
          <w:color w:val="000000"/>
          <w:sz w:val="24"/>
          <w:szCs w:val="24"/>
        </w:rPr>
        <w:t>167,981,610.89/500</w:t>
      </w:r>
      <w:r w:rsidR="006248BE" w:rsidRPr="009C2361">
        <w:rPr>
          <w:rFonts w:asciiTheme="minorEastAsia" w:eastAsiaTheme="minorEastAsia" w:hAnsiTheme="minorEastAsia" w:hint="eastAsia"/>
          <w:color w:val="000000"/>
          <w:sz w:val="24"/>
          <w:szCs w:val="24"/>
        </w:rPr>
        <w:t>,</w:t>
      </w:r>
      <w:r w:rsidR="006248BE" w:rsidRPr="009C2361">
        <w:rPr>
          <w:rFonts w:asciiTheme="minorEastAsia" w:eastAsiaTheme="minorEastAsia" w:hAnsiTheme="minorEastAsia"/>
          <w:color w:val="000000"/>
          <w:sz w:val="24"/>
          <w:szCs w:val="24"/>
        </w:rPr>
        <w:t>000</w:t>
      </w:r>
      <w:r w:rsidR="006248BE" w:rsidRPr="009C2361">
        <w:rPr>
          <w:rFonts w:asciiTheme="minorEastAsia" w:eastAsiaTheme="minorEastAsia" w:hAnsiTheme="minorEastAsia" w:hint="eastAsia"/>
          <w:color w:val="000000"/>
          <w:sz w:val="24"/>
          <w:szCs w:val="24"/>
        </w:rPr>
        <w:t>,</w:t>
      </w:r>
      <w:r w:rsidR="006248BE" w:rsidRPr="009C2361">
        <w:rPr>
          <w:rFonts w:asciiTheme="minorEastAsia" w:eastAsiaTheme="minorEastAsia" w:hAnsiTheme="minorEastAsia"/>
          <w:color w:val="000000"/>
          <w:sz w:val="24"/>
          <w:szCs w:val="24"/>
        </w:rPr>
        <w:t>000</w:t>
      </w:r>
      <w:r w:rsidR="006248BE" w:rsidRPr="009C2361">
        <w:rPr>
          <w:rFonts w:asciiTheme="minorEastAsia" w:eastAsiaTheme="minorEastAsia" w:hAnsiTheme="minorEastAsia" w:hint="eastAsia"/>
          <w:color w:val="000000"/>
          <w:sz w:val="24"/>
          <w:szCs w:val="24"/>
        </w:rPr>
        <w:t>）</w:t>
      </w:r>
      <w:r w:rsidRPr="009C2361">
        <w:rPr>
          <w:rFonts w:asciiTheme="minorEastAsia" w:eastAsiaTheme="minorEastAsia" w:hAnsiTheme="minorEastAsia"/>
          <w:color w:val="000000"/>
          <w:sz w:val="24"/>
          <w:szCs w:val="24"/>
        </w:rPr>
        <w:t>/</w:t>
      </w:r>
      <w:r w:rsidR="000E3E81" w:rsidRPr="009C2361">
        <w:rPr>
          <w:rFonts w:asciiTheme="minorEastAsia" w:eastAsiaTheme="minorEastAsia" w:hAnsiTheme="minorEastAsia"/>
          <w:color w:val="000000"/>
          <w:sz w:val="24"/>
          <w:szCs w:val="24"/>
        </w:rPr>
        <w:t>5.</w:t>
      </w:r>
      <w:r w:rsidR="000F3FB6">
        <w:rPr>
          <w:rFonts w:asciiTheme="minorEastAsia" w:eastAsiaTheme="minorEastAsia" w:hAnsiTheme="minorEastAsia"/>
          <w:color w:val="000000"/>
          <w:sz w:val="24"/>
          <w:szCs w:val="24"/>
        </w:rPr>
        <w:t>415</w:t>
      </w:r>
      <w:r w:rsidRPr="009C2361">
        <w:rPr>
          <w:rFonts w:asciiTheme="minorEastAsia" w:eastAsiaTheme="minorEastAsia" w:hAnsiTheme="minorEastAsia"/>
          <w:color w:val="000000"/>
          <w:sz w:val="24"/>
          <w:szCs w:val="24"/>
        </w:rPr>
        <w:t>=</w:t>
      </w:r>
      <w:r w:rsidR="000E3E81" w:rsidRPr="009C2361">
        <w:rPr>
          <w:rFonts w:asciiTheme="minorEastAsia" w:eastAsiaTheme="minorEastAsia" w:hAnsiTheme="minorEastAsia"/>
          <w:color w:val="000000"/>
          <w:sz w:val="24"/>
          <w:szCs w:val="24"/>
        </w:rPr>
        <w:t>6.</w:t>
      </w:r>
      <w:r w:rsidR="000F3FB6">
        <w:rPr>
          <w:rFonts w:asciiTheme="minorEastAsia" w:eastAsiaTheme="minorEastAsia" w:hAnsiTheme="minorEastAsia"/>
          <w:color w:val="000000"/>
          <w:sz w:val="24"/>
          <w:szCs w:val="24"/>
        </w:rPr>
        <w:t>204</w:t>
      </w:r>
      <w:r w:rsidRPr="009C2361">
        <w:rPr>
          <w:rFonts w:asciiTheme="minorEastAsia" w:eastAsiaTheme="minorEastAsia" w:hAnsiTheme="minorEastAsia"/>
          <w:color w:val="000000"/>
          <w:sz w:val="24"/>
          <w:szCs w:val="24"/>
        </w:rPr>
        <w:t>%。</w:t>
      </w:r>
    </w:p>
    <w:p w14:paraId="388BDE6C" w14:textId="77777777" w:rsidR="00F8785C" w:rsidRPr="009C2361" w:rsidRDefault="00F8785C" w:rsidP="00175F89">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需特别说明的是：</w:t>
      </w:r>
    </w:p>
    <w:p w14:paraId="68E0BA29" w14:textId="03164D92" w:rsidR="00F8785C" w:rsidRPr="009C2361" w:rsidRDefault="00F8785C" w:rsidP="00175F89">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1、以上计算说明中的</w:t>
      </w:r>
      <w:r w:rsidR="006248BE" w:rsidRPr="009C2361">
        <w:rPr>
          <w:rFonts w:asciiTheme="minorEastAsia" w:eastAsiaTheme="minorEastAsia" w:hAnsiTheme="minorEastAsia" w:hint="eastAsia"/>
          <w:color w:val="000000"/>
          <w:sz w:val="24"/>
          <w:szCs w:val="24"/>
        </w:rPr>
        <w:t>2</w:t>
      </w:r>
      <w:r w:rsidR="006248BE" w:rsidRPr="009C2361">
        <w:rPr>
          <w:rFonts w:asciiTheme="minorEastAsia" w:eastAsiaTheme="minorEastAsia" w:hAnsiTheme="minorEastAsia"/>
          <w:color w:val="000000"/>
          <w:sz w:val="24"/>
          <w:szCs w:val="24"/>
        </w:rPr>
        <w:t>022</w:t>
      </w:r>
      <w:r w:rsidR="006248BE" w:rsidRPr="009C2361">
        <w:rPr>
          <w:rFonts w:asciiTheme="minorEastAsia" w:eastAsiaTheme="minorEastAsia" w:hAnsiTheme="minorEastAsia" w:hint="eastAsia"/>
          <w:color w:val="000000"/>
          <w:sz w:val="24"/>
          <w:szCs w:val="24"/>
        </w:rPr>
        <w:t>年可供分配</w:t>
      </w:r>
      <w:r w:rsidRPr="009C2361">
        <w:rPr>
          <w:rFonts w:asciiTheme="minorEastAsia" w:eastAsiaTheme="minorEastAsia" w:hAnsiTheme="minorEastAsia" w:hint="eastAsia"/>
          <w:color w:val="000000"/>
          <w:sz w:val="24"/>
          <w:szCs w:val="24"/>
        </w:rPr>
        <w:t>金额系根据</w:t>
      </w:r>
      <w:r w:rsidR="006248BE" w:rsidRPr="009C2361">
        <w:rPr>
          <w:rFonts w:asciiTheme="minorEastAsia" w:eastAsiaTheme="minorEastAsia" w:hAnsiTheme="minorEastAsia" w:hint="eastAsia"/>
          <w:color w:val="000000"/>
          <w:sz w:val="24"/>
          <w:szCs w:val="24"/>
        </w:rPr>
        <w:t>《富国首创水务封闭式基础设施证券投资基金招募说明书》</w:t>
      </w:r>
      <w:r w:rsidR="000E3E81" w:rsidRPr="009C2361">
        <w:rPr>
          <w:rFonts w:asciiTheme="minorEastAsia" w:eastAsiaTheme="minorEastAsia" w:hAnsiTheme="minorEastAsia" w:hint="eastAsia"/>
          <w:color w:val="000000"/>
          <w:sz w:val="24"/>
          <w:szCs w:val="24"/>
        </w:rPr>
        <w:t>披露的预测数据</w:t>
      </w:r>
      <w:r w:rsidRPr="009C2361">
        <w:rPr>
          <w:rFonts w:asciiTheme="minorEastAsia" w:eastAsiaTheme="minorEastAsia" w:hAnsiTheme="minorEastAsia" w:hint="eastAsia"/>
          <w:color w:val="000000"/>
          <w:sz w:val="24"/>
          <w:szCs w:val="24"/>
        </w:rPr>
        <w:t>予以假设，不代表</w:t>
      </w:r>
      <w:r w:rsidR="00064182" w:rsidRPr="009C2361">
        <w:rPr>
          <w:rFonts w:asciiTheme="minorEastAsia" w:eastAsiaTheme="minorEastAsia" w:hAnsiTheme="minorEastAsia" w:hint="eastAsia"/>
          <w:color w:val="000000"/>
          <w:sz w:val="24"/>
          <w:szCs w:val="24"/>
        </w:rPr>
        <w:t>实际</w:t>
      </w:r>
      <w:r w:rsidRPr="009C2361">
        <w:rPr>
          <w:rFonts w:asciiTheme="minorEastAsia" w:eastAsiaTheme="minorEastAsia" w:hAnsiTheme="minorEastAsia" w:hint="eastAsia"/>
          <w:color w:val="000000"/>
          <w:sz w:val="24"/>
          <w:szCs w:val="24"/>
        </w:rPr>
        <w:t>年度的</w:t>
      </w:r>
      <w:r w:rsidR="00064182" w:rsidRPr="009C2361">
        <w:rPr>
          <w:rFonts w:asciiTheme="minorEastAsia" w:eastAsiaTheme="minorEastAsia" w:hAnsiTheme="minorEastAsia" w:hint="eastAsia"/>
          <w:color w:val="000000"/>
          <w:sz w:val="24"/>
          <w:szCs w:val="24"/>
        </w:rPr>
        <w:t>可供分配金额</w:t>
      </w:r>
      <w:r w:rsidRPr="009C2361">
        <w:rPr>
          <w:rFonts w:asciiTheme="minorEastAsia" w:eastAsiaTheme="minorEastAsia" w:hAnsiTheme="minorEastAsia" w:hint="eastAsia"/>
          <w:color w:val="000000"/>
          <w:sz w:val="24"/>
          <w:szCs w:val="24"/>
        </w:rPr>
        <w:t>，如后续年度</w:t>
      </w:r>
      <w:r w:rsidR="00064182" w:rsidRPr="009C2361">
        <w:rPr>
          <w:rFonts w:asciiTheme="minorEastAsia" w:eastAsiaTheme="minorEastAsia" w:hAnsiTheme="minorEastAsia" w:hint="eastAsia"/>
          <w:color w:val="000000"/>
          <w:sz w:val="24"/>
          <w:szCs w:val="24"/>
        </w:rPr>
        <w:t>可供分配</w:t>
      </w:r>
      <w:r w:rsidRPr="009C2361">
        <w:rPr>
          <w:rFonts w:asciiTheme="minorEastAsia" w:eastAsiaTheme="minorEastAsia" w:hAnsiTheme="minorEastAsia" w:hint="eastAsia"/>
          <w:color w:val="000000"/>
          <w:sz w:val="24"/>
          <w:szCs w:val="24"/>
        </w:rPr>
        <w:t>金额降低的，将影响届时净现金流分派率的计算结果。</w:t>
      </w:r>
    </w:p>
    <w:p w14:paraId="1052AA70" w14:textId="77777777" w:rsidR="00F8785C" w:rsidRPr="009C2361" w:rsidRDefault="00F8785C" w:rsidP="00175F89">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lastRenderedPageBreak/>
        <w:t>2、净现金流分派率不等同于基金的收益率。</w:t>
      </w:r>
    </w:p>
    <w:p w14:paraId="0CDA6168" w14:textId="77777777" w:rsidR="00653C6B" w:rsidRPr="009C2361" w:rsidRDefault="00653C6B" w:rsidP="00653C6B">
      <w:pPr>
        <w:widowControl/>
        <w:snapToGrid w:val="0"/>
        <w:spacing w:line="360" w:lineRule="auto"/>
        <w:ind w:firstLineChars="200" w:firstLine="480"/>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（三）内部收益率（IRR）说明</w:t>
      </w:r>
    </w:p>
    <w:p w14:paraId="364D5CE9" w14:textId="14E794FD" w:rsidR="00276F83" w:rsidRDefault="00653C6B" w:rsidP="00276F83">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内部收益率（IRR）为使得投资基金产生的未来现金流折现现值等于买入成本的收益率。</w:t>
      </w:r>
      <w:r w:rsidR="00276F83">
        <w:rPr>
          <w:rFonts w:asciiTheme="minorEastAsia" w:eastAsiaTheme="minorEastAsia" w:hAnsiTheme="minorEastAsia" w:hint="eastAsia"/>
          <w:color w:val="000000"/>
          <w:sz w:val="24"/>
          <w:szCs w:val="24"/>
        </w:rPr>
        <w:t>内部收益率的</w:t>
      </w:r>
      <w:r w:rsidR="0073100D">
        <w:rPr>
          <w:rFonts w:asciiTheme="minorEastAsia" w:eastAsiaTheme="minorEastAsia" w:hAnsiTheme="minorEastAsia" w:hint="eastAsia"/>
          <w:color w:val="000000"/>
          <w:sz w:val="24"/>
          <w:szCs w:val="24"/>
        </w:rPr>
        <w:t>测算</w:t>
      </w:r>
      <w:bookmarkStart w:id="1" w:name="_GoBack"/>
      <w:bookmarkEnd w:id="1"/>
      <w:r w:rsidR="00276F83">
        <w:rPr>
          <w:rFonts w:asciiTheme="minorEastAsia" w:eastAsiaTheme="minorEastAsia" w:hAnsiTheme="minorEastAsia" w:hint="eastAsia"/>
          <w:color w:val="000000"/>
          <w:sz w:val="24"/>
          <w:szCs w:val="24"/>
        </w:rPr>
        <w:t>过程如下：</w:t>
      </w:r>
    </w:p>
    <w:p w14:paraId="50F21BE1" w14:textId="77777777" w:rsidR="00276F83" w:rsidRPr="00027FE9" w:rsidRDefault="00E94511" w:rsidP="00276F83">
      <w:pPr>
        <w:widowControl/>
        <w:snapToGrid w:val="0"/>
        <w:spacing w:line="360" w:lineRule="auto"/>
        <w:ind w:firstLineChars="200" w:firstLine="420"/>
        <w:jc w:val="both"/>
        <w:rPr>
          <w:rFonts w:asciiTheme="minorEastAsia" w:eastAsiaTheme="minorEastAsia" w:hAnsiTheme="minorEastAsia"/>
          <w:color w:val="333333"/>
          <w:sz w:val="21"/>
          <w:szCs w:val="21"/>
        </w:rPr>
      </w:pPr>
      <m:oMathPara>
        <m:oMath>
          <m:nary>
            <m:naryPr>
              <m:chr m:val="∑"/>
              <m:limLoc m:val="undOvr"/>
              <m:ctrlPr>
                <w:rPr>
                  <w:rFonts w:ascii="Cambria Math" w:hAnsi="Cambria Math" w:cs="Arial"/>
                  <w:color w:val="333333"/>
                  <w:sz w:val="21"/>
                  <w:szCs w:val="21"/>
                </w:rPr>
              </m:ctrlPr>
            </m:naryPr>
            <m:sub>
              <m:r>
                <w:rPr>
                  <w:rFonts w:ascii="Cambria Math" w:hAnsi="Cambria Math" w:cs="Arial"/>
                  <w:color w:val="333333"/>
                  <w:sz w:val="21"/>
                  <w:szCs w:val="21"/>
                </w:rPr>
                <m:t>t</m:t>
              </m:r>
              <m:r>
                <w:rPr>
                  <w:rFonts w:ascii="Cambria Math" w:hAnsi="Cambria Math" w:cs="Arial" w:hint="eastAsia"/>
                  <w:color w:val="333333"/>
                  <w:sz w:val="21"/>
                  <w:szCs w:val="21"/>
                </w:rPr>
                <m:t>=</m:t>
              </m:r>
              <m:r>
                <w:rPr>
                  <w:rFonts w:ascii="Cambria Math" w:hAnsi="Cambria Math" w:cs="Arial"/>
                  <w:color w:val="333333"/>
                  <w:sz w:val="21"/>
                  <w:szCs w:val="21"/>
                </w:rPr>
                <m:t>1</m:t>
              </m:r>
            </m:sub>
            <m:sup>
              <m:r>
                <w:rPr>
                  <w:rFonts w:ascii="Cambria Math" w:hAnsi="Cambria Math" w:cs="Arial"/>
                  <w:color w:val="333333"/>
                  <w:sz w:val="21"/>
                  <w:szCs w:val="21"/>
                </w:rPr>
                <m:t>n</m:t>
              </m:r>
            </m:sup>
            <m:e>
              <m:f>
                <m:fPr>
                  <m:ctrlPr>
                    <w:rPr>
                      <w:rFonts w:ascii="Cambria Math" w:hAnsi="Cambria Math" w:cs="Arial"/>
                      <w:i/>
                      <w:color w:val="333333"/>
                      <w:sz w:val="21"/>
                      <w:szCs w:val="21"/>
                    </w:rPr>
                  </m:ctrlPr>
                </m:fPr>
                <m:num>
                  <m:sSub>
                    <m:sSubPr>
                      <m:ctrlPr>
                        <w:rPr>
                          <w:rFonts w:ascii="Cambria Math" w:hAnsi="Cambria Math" w:cs="Arial"/>
                          <w:i/>
                          <w:color w:val="333333"/>
                          <w:sz w:val="21"/>
                          <w:szCs w:val="21"/>
                        </w:rPr>
                      </m:ctrlPr>
                    </m:sSubPr>
                    <m:e>
                      <m:r>
                        <w:rPr>
                          <w:rFonts w:ascii="Cambria Math" w:hAnsi="Cambria Math" w:cs="Arial"/>
                          <w:color w:val="333333"/>
                          <w:sz w:val="21"/>
                          <w:szCs w:val="21"/>
                        </w:rPr>
                        <m:t>NCF</m:t>
                      </m:r>
                    </m:e>
                    <m:sub>
                      <m:r>
                        <w:rPr>
                          <w:rFonts w:ascii="Cambria Math" w:hAnsi="Cambria Math" w:cs="Arial"/>
                          <w:color w:val="333333"/>
                          <w:sz w:val="21"/>
                          <w:szCs w:val="21"/>
                        </w:rPr>
                        <m:t>t</m:t>
                      </m:r>
                    </m:sub>
                  </m:sSub>
                </m:num>
                <m:den>
                  <m:sSup>
                    <m:sSupPr>
                      <m:ctrlPr>
                        <w:rPr>
                          <w:rFonts w:ascii="Cambria Math" w:hAnsi="Cambria Math" w:cs="Arial"/>
                          <w:i/>
                          <w:color w:val="333333"/>
                          <w:sz w:val="21"/>
                          <w:szCs w:val="21"/>
                        </w:rPr>
                      </m:ctrlPr>
                    </m:sSupPr>
                    <m:e>
                      <m:r>
                        <w:rPr>
                          <w:rFonts w:ascii="Cambria Math" w:hAnsi="Cambria Math" w:cs="Arial" w:hint="eastAsia"/>
                          <w:color w:val="333333"/>
                          <w:sz w:val="21"/>
                          <w:szCs w:val="21"/>
                        </w:rPr>
                        <m:t>（</m:t>
                      </m:r>
                      <m:r>
                        <w:rPr>
                          <w:rFonts w:ascii="Cambria Math" w:hAnsi="Cambria Math" w:cs="Arial"/>
                          <w:color w:val="333333"/>
                          <w:sz w:val="21"/>
                          <w:szCs w:val="21"/>
                        </w:rPr>
                        <m:t>1</m:t>
                      </m:r>
                      <m:r>
                        <w:rPr>
                          <w:rFonts w:ascii="Cambria Math" w:hAnsi="Cambria Math" w:cs="Arial" w:hint="eastAsia"/>
                          <w:color w:val="333333"/>
                          <w:sz w:val="21"/>
                          <w:szCs w:val="21"/>
                        </w:rPr>
                        <m:t>+</m:t>
                      </m:r>
                      <m:r>
                        <w:rPr>
                          <w:rFonts w:ascii="Cambria Math" w:hAnsi="Cambria Math" w:cs="Arial"/>
                          <w:color w:val="333333"/>
                          <w:sz w:val="21"/>
                          <w:szCs w:val="21"/>
                        </w:rPr>
                        <m:t>k</m:t>
                      </m:r>
                      <m:r>
                        <w:rPr>
                          <w:rFonts w:ascii="Cambria Math" w:hAnsi="Cambria Math" w:cs="Arial" w:hint="eastAsia"/>
                          <w:color w:val="333333"/>
                          <w:sz w:val="21"/>
                          <w:szCs w:val="21"/>
                        </w:rPr>
                        <m:t>）</m:t>
                      </m:r>
                    </m:e>
                    <m:sup>
                      <m:r>
                        <w:rPr>
                          <w:rFonts w:ascii="Cambria Math" w:hAnsi="Cambria Math" w:cs="Arial"/>
                          <w:color w:val="333333"/>
                          <w:sz w:val="21"/>
                          <w:szCs w:val="21"/>
                        </w:rPr>
                        <m:t>t</m:t>
                      </m:r>
                    </m:sup>
                  </m:sSup>
                </m:den>
              </m:f>
            </m:e>
          </m:nary>
          <m:r>
            <m:rPr>
              <m:sty m:val="p"/>
            </m:rPr>
            <w:rPr>
              <w:rFonts w:ascii="MS Gothic" w:hAnsi="MS Gothic" w:cs="MS Gothic"/>
              <w:color w:val="333333"/>
              <w:sz w:val="21"/>
              <w:szCs w:val="21"/>
            </w:rPr>
            <m:t>-</m:t>
          </m:r>
          <m:r>
            <m:rPr>
              <m:sty m:val="p"/>
            </m:rPr>
            <w:rPr>
              <w:rFonts w:ascii="Cambria Math" w:hAnsi="Cambria Math" w:cs="Arial"/>
              <w:color w:val="333333"/>
              <w:sz w:val="21"/>
              <w:szCs w:val="21"/>
            </w:rPr>
            <m:t>C</m:t>
          </m:r>
          <m:r>
            <m:rPr>
              <m:sty m:val="p"/>
            </m:rPr>
            <w:rPr>
              <w:rFonts w:ascii="Cambria Math" w:hAnsi="Cambria Math" w:cs="Arial" w:hint="eastAsia"/>
              <w:color w:val="333333"/>
              <w:sz w:val="21"/>
              <w:szCs w:val="21"/>
            </w:rPr>
            <m:t>=</m:t>
          </m:r>
          <m:r>
            <m:rPr>
              <m:sty m:val="p"/>
            </m:rPr>
            <w:rPr>
              <w:rFonts w:ascii="Cambria Math" w:hAnsi="Cambria Math" w:cs="Arial"/>
              <w:color w:val="333333"/>
              <w:sz w:val="21"/>
              <w:szCs w:val="21"/>
            </w:rPr>
            <m:t>0</m:t>
          </m:r>
        </m:oMath>
      </m:oMathPara>
    </w:p>
    <w:p w14:paraId="732465BF" w14:textId="77777777" w:rsidR="00276F83" w:rsidRPr="00276F83" w:rsidRDefault="00276F83" w:rsidP="00276F83">
      <w:pPr>
        <w:widowControl/>
        <w:snapToGrid w:val="0"/>
        <w:spacing w:line="360" w:lineRule="auto"/>
        <w:ind w:firstLineChars="200" w:firstLine="480"/>
        <w:jc w:val="both"/>
        <w:rPr>
          <w:rFonts w:asciiTheme="minorEastAsia" w:eastAsiaTheme="minorEastAsia" w:hAnsiTheme="minorEastAsia"/>
          <w:color w:val="000000" w:themeColor="text1"/>
          <w:sz w:val="24"/>
          <w:szCs w:val="21"/>
        </w:rPr>
      </w:pPr>
      <w:r w:rsidRPr="00276F83">
        <w:rPr>
          <w:rFonts w:asciiTheme="minorEastAsia" w:eastAsiaTheme="minorEastAsia" w:hAnsiTheme="minorEastAsia" w:hint="eastAsia"/>
          <w:color w:val="000000" w:themeColor="text1"/>
          <w:sz w:val="24"/>
          <w:szCs w:val="21"/>
        </w:rPr>
        <w:t>N</w:t>
      </w:r>
      <w:r w:rsidRPr="00276F83">
        <w:rPr>
          <w:rFonts w:asciiTheme="minorEastAsia" w:eastAsiaTheme="minorEastAsia" w:hAnsiTheme="minorEastAsia"/>
          <w:color w:val="000000" w:themeColor="text1"/>
          <w:sz w:val="24"/>
          <w:szCs w:val="21"/>
        </w:rPr>
        <w:t>CF</w:t>
      </w:r>
      <w:r w:rsidRPr="00276F83">
        <w:rPr>
          <w:rFonts w:asciiTheme="minorEastAsia" w:eastAsiaTheme="minorEastAsia" w:hAnsiTheme="minorEastAsia" w:hint="eastAsia"/>
          <w:color w:val="000000" w:themeColor="text1"/>
          <w:sz w:val="24"/>
          <w:szCs w:val="21"/>
          <w:vertAlign w:val="subscript"/>
        </w:rPr>
        <w:t>t</w:t>
      </w:r>
      <w:r w:rsidRPr="00276F83">
        <w:rPr>
          <w:rFonts w:asciiTheme="minorEastAsia" w:eastAsiaTheme="minorEastAsia" w:hAnsiTheme="minorEastAsia" w:hint="eastAsia"/>
          <w:color w:val="000000" w:themeColor="text1"/>
          <w:sz w:val="24"/>
          <w:szCs w:val="21"/>
        </w:rPr>
        <w:t>为第t年预计年度可供分配现金流，</w:t>
      </w:r>
      <w:r w:rsidRPr="00276F83">
        <w:rPr>
          <w:rFonts w:asciiTheme="minorEastAsia" w:eastAsiaTheme="minorEastAsia" w:hAnsiTheme="minorEastAsia"/>
          <w:color w:val="000000" w:themeColor="text1"/>
          <w:sz w:val="24"/>
          <w:szCs w:val="21"/>
        </w:rPr>
        <w:t>n为项目使用年限</w:t>
      </w:r>
      <w:r w:rsidRPr="00276F83">
        <w:rPr>
          <w:rFonts w:asciiTheme="minorEastAsia" w:eastAsiaTheme="minorEastAsia" w:hAnsiTheme="minorEastAsia" w:hint="eastAsia"/>
          <w:color w:val="000000" w:themeColor="text1"/>
          <w:sz w:val="24"/>
          <w:szCs w:val="21"/>
        </w:rPr>
        <w:t>，C为初始基金投资成本,</w:t>
      </w:r>
      <w:r w:rsidRPr="00276F83">
        <w:rPr>
          <w:rFonts w:asciiTheme="minorEastAsia" w:eastAsiaTheme="minorEastAsia" w:hAnsiTheme="minorEastAsia"/>
          <w:color w:val="000000" w:themeColor="text1"/>
          <w:sz w:val="24"/>
          <w:szCs w:val="21"/>
        </w:rPr>
        <w:t>k为</w:t>
      </w:r>
      <w:r w:rsidRPr="00276F83">
        <w:rPr>
          <w:rFonts w:asciiTheme="minorEastAsia" w:eastAsiaTheme="minorEastAsia" w:hAnsiTheme="minorEastAsia" w:hint="eastAsia"/>
          <w:color w:val="000000" w:themeColor="text1"/>
          <w:sz w:val="24"/>
          <w:szCs w:val="21"/>
        </w:rPr>
        <w:t>内部收益率。</w:t>
      </w:r>
    </w:p>
    <w:p w14:paraId="30D780A3" w14:textId="0183BF45" w:rsidR="00653C6B" w:rsidRDefault="00653C6B" w:rsidP="00207A55">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基金管理人测算的内部收益率基于资产评估价值、资产评估报告</w:t>
      </w:r>
      <w:r w:rsidR="00207A55">
        <w:rPr>
          <w:rFonts w:asciiTheme="minorEastAsia" w:eastAsiaTheme="minorEastAsia" w:hAnsiTheme="minorEastAsia" w:hint="eastAsia"/>
          <w:color w:val="000000"/>
          <w:sz w:val="24"/>
          <w:szCs w:val="24"/>
        </w:rPr>
        <w:t>、</w:t>
      </w:r>
      <w:r w:rsidR="00207A55" w:rsidRPr="00207A55">
        <w:rPr>
          <w:rFonts w:asciiTheme="minorEastAsia" w:eastAsiaTheme="minorEastAsia" w:hAnsiTheme="minorEastAsia" w:hint="eastAsia"/>
          <w:color w:val="000000"/>
          <w:sz w:val="24"/>
          <w:szCs w:val="24"/>
        </w:rPr>
        <w:t>可供分配金额测算报告</w:t>
      </w:r>
      <w:r w:rsidRPr="009C2361">
        <w:rPr>
          <w:rFonts w:asciiTheme="minorEastAsia" w:eastAsiaTheme="minorEastAsia" w:hAnsiTheme="minorEastAsia" w:hint="eastAsia"/>
          <w:color w:val="000000"/>
          <w:sz w:val="24"/>
          <w:szCs w:val="24"/>
        </w:rPr>
        <w:t>中的全周期各年净现金流假设数据等假设条件，具体可参见本基金</w:t>
      </w:r>
      <w:r w:rsidR="000F3FB6" w:rsidRPr="009C2361">
        <w:rPr>
          <w:rFonts w:asciiTheme="minorEastAsia" w:eastAsiaTheme="minorEastAsia" w:hAnsiTheme="minorEastAsia"/>
          <w:color w:val="000000"/>
          <w:sz w:val="24"/>
          <w:szCs w:val="24"/>
        </w:rPr>
        <w:t>首次发行</w:t>
      </w:r>
      <w:r w:rsidR="000F3FB6">
        <w:rPr>
          <w:rFonts w:asciiTheme="minorEastAsia" w:eastAsiaTheme="minorEastAsia" w:hAnsiTheme="minorEastAsia"/>
          <w:color w:val="000000"/>
          <w:sz w:val="24"/>
          <w:szCs w:val="24"/>
        </w:rPr>
        <w:t>的</w:t>
      </w:r>
      <w:r w:rsidRPr="009C2361">
        <w:rPr>
          <w:rFonts w:asciiTheme="minorEastAsia" w:eastAsiaTheme="minorEastAsia" w:hAnsiTheme="minorEastAsia" w:hint="eastAsia"/>
          <w:color w:val="000000"/>
          <w:sz w:val="24"/>
          <w:szCs w:val="24"/>
        </w:rPr>
        <w:t>招募说明书。假设投资者持有基金至到期，在未来现金流假设要素与资产评估报告所列的假设条件一致的情况下（即投资者各年净现金流分派情况与假设条件保持一致），随着二级市场交易价格上涨，投资者买入成本随之提高，投资者的实际内部收益率将相应降低。</w:t>
      </w:r>
    </w:p>
    <w:p w14:paraId="70BEC547" w14:textId="77777777" w:rsidR="009C2361" w:rsidRPr="009C2361" w:rsidRDefault="009C2361" w:rsidP="009C2361">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假设投资者买入基金并持有到期，未来净现金流假设条件不变的情况下，内部收益率测算情况如下：</w:t>
      </w:r>
    </w:p>
    <w:p w14:paraId="61A32243" w14:textId="77777777" w:rsidR="009C2361" w:rsidRPr="009C2361" w:rsidRDefault="009C2361" w:rsidP="009C2361">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1、假设投资者在首次发行时买入本基金，买入价格3.700元/份，该投资者的内部收益率预测值约为6.12%（测算依据详见基金招募说明书）；</w:t>
      </w:r>
    </w:p>
    <w:p w14:paraId="4A664CB7" w14:textId="35C85A42" w:rsidR="009C2361" w:rsidRPr="009C2361" w:rsidRDefault="009C2361" w:rsidP="009C2361">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2、假设投资者在2022年</w:t>
      </w:r>
      <w:r>
        <w:rPr>
          <w:rFonts w:asciiTheme="minorEastAsia" w:eastAsiaTheme="minorEastAsia" w:hAnsiTheme="minorEastAsia"/>
          <w:color w:val="000000"/>
          <w:sz w:val="24"/>
          <w:szCs w:val="24"/>
        </w:rPr>
        <w:t>6</w:t>
      </w:r>
      <w:r w:rsidRPr="009C2361">
        <w:rPr>
          <w:rFonts w:asciiTheme="minorEastAsia" w:eastAsiaTheme="minorEastAsia" w:hAnsiTheme="minorEastAsia" w:hint="eastAsia"/>
          <w:color w:val="000000"/>
          <w:sz w:val="24"/>
          <w:szCs w:val="24"/>
        </w:rPr>
        <w:t>月</w:t>
      </w:r>
      <w:r>
        <w:rPr>
          <w:rFonts w:asciiTheme="minorEastAsia" w:eastAsiaTheme="minorEastAsia" w:hAnsiTheme="minorEastAsia"/>
          <w:color w:val="000000"/>
          <w:sz w:val="24"/>
          <w:szCs w:val="24"/>
        </w:rPr>
        <w:t>7</w:t>
      </w:r>
      <w:r w:rsidRPr="009C2361">
        <w:rPr>
          <w:rFonts w:asciiTheme="minorEastAsia" w:eastAsiaTheme="minorEastAsia" w:hAnsiTheme="minorEastAsia" w:hint="eastAsia"/>
          <w:color w:val="000000"/>
          <w:sz w:val="24"/>
          <w:szCs w:val="24"/>
        </w:rPr>
        <w:t>日买入本基金，买入价格</w:t>
      </w:r>
      <w:r w:rsidR="000F3FB6">
        <w:rPr>
          <w:rFonts w:asciiTheme="minorEastAsia" w:eastAsiaTheme="minorEastAsia" w:hAnsiTheme="minorEastAsia"/>
          <w:color w:val="000000"/>
          <w:sz w:val="24"/>
          <w:szCs w:val="24"/>
        </w:rPr>
        <w:t>5.415</w:t>
      </w:r>
      <w:r w:rsidRPr="009C2361">
        <w:rPr>
          <w:rFonts w:asciiTheme="minorEastAsia" w:eastAsiaTheme="minorEastAsia" w:hAnsiTheme="minorEastAsia" w:hint="eastAsia"/>
          <w:color w:val="000000"/>
          <w:sz w:val="24"/>
          <w:szCs w:val="24"/>
        </w:rPr>
        <w:t>元/份，该投资者的内部收益率预测值约为</w:t>
      </w:r>
      <w:r w:rsidR="000F3FB6">
        <w:rPr>
          <w:rFonts w:asciiTheme="minorEastAsia" w:eastAsiaTheme="minorEastAsia" w:hAnsiTheme="minorEastAsia"/>
          <w:color w:val="000000"/>
          <w:sz w:val="24"/>
          <w:szCs w:val="24"/>
        </w:rPr>
        <w:t>1.38</w:t>
      </w:r>
      <w:r w:rsidRPr="009C2361">
        <w:rPr>
          <w:rFonts w:asciiTheme="minorEastAsia" w:eastAsiaTheme="minorEastAsia" w:hAnsiTheme="minorEastAsia" w:hint="eastAsia"/>
          <w:color w:val="000000"/>
          <w:sz w:val="24"/>
          <w:szCs w:val="24"/>
        </w:rPr>
        <w:t>%。</w:t>
      </w:r>
    </w:p>
    <w:p w14:paraId="4B0E84CD" w14:textId="623B756F" w:rsidR="009C2361" w:rsidRPr="009C2361" w:rsidRDefault="009C2361" w:rsidP="000F3FB6">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需特别说明的是，以上测算系参考</w:t>
      </w:r>
      <w:r w:rsidR="000F3FB6">
        <w:rPr>
          <w:rFonts w:asciiTheme="minorEastAsia" w:eastAsiaTheme="minorEastAsia" w:hAnsiTheme="minorEastAsia" w:hint="eastAsia"/>
          <w:color w:val="000000"/>
          <w:sz w:val="24"/>
          <w:szCs w:val="24"/>
        </w:rPr>
        <w:t>首次发行时预测的</w:t>
      </w:r>
      <w:r w:rsidRPr="009C2361">
        <w:rPr>
          <w:rFonts w:asciiTheme="minorEastAsia" w:eastAsiaTheme="minorEastAsia" w:hAnsiTheme="minorEastAsia" w:hint="eastAsia"/>
          <w:color w:val="000000"/>
          <w:sz w:val="24"/>
          <w:szCs w:val="24"/>
        </w:rPr>
        <w:t>全周期各年假设数据，不代表后续年度的实际分配金额。如后续年度降低分配金额的，将影响届时内部收益率的计算结果。</w:t>
      </w:r>
    </w:p>
    <w:p w14:paraId="566ECD59" w14:textId="77777777" w:rsidR="00653C6B" w:rsidRPr="009C2361" w:rsidRDefault="00653C6B" w:rsidP="00175F89">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四）本基金不同于股票、债券或主要投资于股票、债券的基金。本基金80%以上资产投资于污水处理类基础设施项目，在经营环境不发生大幅变化的情况下，随着运营年限的增长，剩余期限内如本基金未扩募新资产，则已持有资产的市场价值逐年降低，进而导致基金净值逐渐降低甚至趋于零。</w:t>
      </w:r>
    </w:p>
    <w:p w14:paraId="73C8AAE4" w14:textId="77777777" w:rsidR="00653C6B" w:rsidRPr="009C2361" w:rsidRDefault="00653C6B" w:rsidP="00175F89">
      <w:pPr>
        <w:widowControl/>
        <w:snapToGrid w:val="0"/>
        <w:spacing w:line="360" w:lineRule="auto"/>
        <w:ind w:firstLineChars="200" w:firstLine="480"/>
        <w:jc w:val="both"/>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本基金持有项目的特许经营权资产在预计使用年限内进行逐期摊销，在基金年度可供分配金额中加回此部分特许经营权摊销，并以不低于基金年度可供分配</w:t>
      </w:r>
      <w:r w:rsidRPr="009C2361">
        <w:rPr>
          <w:rFonts w:asciiTheme="minorEastAsia" w:eastAsiaTheme="minorEastAsia" w:hAnsiTheme="minorEastAsia" w:hint="eastAsia"/>
          <w:color w:val="000000"/>
          <w:sz w:val="24"/>
          <w:szCs w:val="24"/>
        </w:rPr>
        <w:lastRenderedPageBreak/>
        <w:t>金额的90%进行收益分配。在本基金存续期间，投资者仅可通过收益分配或二级市场交易获得现金流，投资者买入本基金不存在到期后还本付息的情况。</w:t>
      </w:r>
    </w:p>
    <w:p w14:paraId="0246B24C" w14:textId="36720E69" w:rsidR="00653C6B" w:rsidRPr="009C2361" w:rsidRDefault="00653C6B" w:rsidP="008669EF">
      <w:pPr>
        <w:pStyle w:val="a3"/>
        <w:snapToGrid w:val="0"/>
        <w:spacing w:before="0" w:beforeAutospacing="0" w:after="0" w:afterAutospacing="0" w:line="240" w:lineRule="auto"/>
        <w:ind w:firstLine="480"/>
        <w:jc w:val="both"/>
        <w:rPr>
          <w:rFonts w:asciiTheme="minorEastAsia" w:eastAsiaTheme="minorEastAsia" w:hAnsiTheme="minorEastAsia" w:cs="Times New Roman"/>
        </w:rPr>
      </w:pPr>
    </w:p>
    <w:p w14:paraId="6D32CE45" w14:textId="77777777" w:rsidR="00653C6B" w:rsidRPr="009C2361" w:rsidRDefault="00653C6B" w:rsidP="008669EF">
      <w:pPr>
        <w:pStyle w:val="a3"/>
        <w:snapToGrid w:val="0"/>
        <w:spacing w:before="0" w:beforeAutospacing="0" w:after="0" w:afterAutospacing="0" w:line="240" w:lineRule="auto"/>
        <w:ind w:firstLine="480"/>
        <w:jc w:val="both"/>
        <w:rPr>
          <w:rFonts w:asciiTheme="minorEastAsia" w:eastAsiaTheme="minorEastAsia" w:hAnsiTheme="minorEastAsia" w:cs="Times New Roman"/>
        </w:rPr>
      </w:pPr>
    </w:p>
    <w:p w14:paraId="3237C649" w14:textId="4B52A23F" w:rsidR="009C415D" w:rsidRPr="009C2361" w:rsidRDefault="00F8785C" w:rsidP="00F8785C">
      <w:pPr>
        <w:widowControl/>
        <w:snapToGrid w:val="0"/>
        <w:spacing w:line="360" w:lineRule="auto"/>
        <w:ind w:firstLineChars="200" w:firstLine="482"/>
        <w:rPr>
          <w:rFonts w:asciiTheme="minorEastAsia" w:eastAsiaTheme="minorEastAsia" w:hAnsiTheme="minorEastAsia"/>
          <w:b/>
          <w:color w:val="000000"/>
          <w:sz w:val="24"/>
          <w:szCs w:val="24"/>
        </w:rPr>
      </w:pPr>
      <w:r w:rsidRPr="009C2361">
        <w:rPr>
          <w:rFonts w:asciiTheme="minorEastAsia" w:eastAsiaTheme="minorEastAsia" w:hAnsiTheme="minorEastAsia"/>
          <w:b/>
          <w:color w:val="000000"/>
          <w:sz w:val="24"/>
          <w:szCs w:val="24"/>
        </w:rPr>
        <w:t>五</w:t>
      </w:r>
      <w:r w:rsidR="009C415D" w:rsidRPr="009C2361">
        <w:rPr>
          <w:rFonts w:asciiTheme="minorEastAsia" w:eastAsiaTheme="minorEastAsia" w:hAnsiTheme="minorEastAsia" w:hint="eastAsia"/>
          <w:b/>
          <w:color w:val="000000"/>
          <w:sz w:val="24"/>
          <w:szCs w:val="24"/>
        </w:rPr>
        <w:t>、相关机构联系方式</w:t>
      </w:r>
    </w:p>
    <w:p w14:paraId="003C0EDE" w14:textId="4B6D2313" w:rsidR="00F8785C" w:rsidRPr="009C2361" w:rsidRDefault="00F8785C" w:rsidP="00F8785C">
      <w:pPr>
        <w:widowControl/>
        <w:snapToGrid w:val="0"/>
        <w:spacing w:line="360" w:lineRule="auto"/>
        <w:ind w:firstLineChars="200" w:firstLine="480"/>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投资者可以登陆本公司网站www.fullgoal.com.cn或拨打本公司客户服务热线95105686、4008880688（全国统一，均免长途费）进行相关咨询。</w:t>
      </w:r>
    </w:p>
    <w:p w14:paraId="5E156B1C" w14:textId="77777777" w:rsidR="00F8785C" w:rsidRPr="009C2361" w:rsidRDefault="00F8785C" w:rsidP="008669EF">
      <w:pPr>
        <w:pStyle w:val="a3"/>
        <w:snapToGrid w:val="0"/>
        <w:spacing w:before="0" w:beforeAutospacing="0" w:after="0" w:afterAutospacing="0" w:line="240" w:lineRule="auto"/>
        <w:ind w:firstLine="482"/>
        <w:jc w:val="both"/>
        <w:rPr>
          <w:rFonts w:asciiTheme="minorEastAsia" w:eastAsiaTheme="minorEastAsia" w:hAnsiTheme="minorEastAsia" w:cs="Times New Roman"/>
          <w:b/>
        </w:rPr>
      </w:pPr>
    </w:p>
    <w:p w14:paraId="0F86D29F" w14:textId="3C2733DD" w:rsidR="009C415D" w:rsidRPr="009C2361" w:rsidRDefault="00F8785C" w:rsidP="00F8785C">
      <w:pPr>
        <w:widowControl/>
        <w:snapToGrid w:val="0"/>
        <w:spacing w:line="360" w:lineRule="auto"/>
        <w:ind w:firstLineChars="200" w:firstLine="482"/>
        <w:rPr>
          <w:rFonts w:asciiTheme="minorEastAsia" w:eastAsiaTheme="minorEastAsia" w:hAnsiTheme="minorEastAsia"/>
          <w:b/>
          <w:color w:val="000000"/>
          <w:sz w:val="24"/>
          <w:szCs w:val="24"/>
        </w:rPr>
      </w:pPr>
      <w:r w:rsidRPr="009C2361">
        <w:rPr>
          <w:rFonts w:asciiTheme="minorEastAsia" w:eastAsiaTheme="minorEastAsia" w:hAnsiTheme="minorEastAsia"/>
          <w:b/>
          <w:color w:val="000000"/>
          <w:sz w:val="24"/>
          <w:szCs w:val="24"/>
        </w:rPr>
        <w:t>六</w:t>
      </w:r>
      <w:r w:rsidR="008669EF" w:rsidRPr="009C2361">
        <w:rPr>
          <w:rFonts w:asciiTheme="minorEastAsia" w:eastAsiaTheme="minorEastAsia" w:hAnsiTheme="minorEastAsia" w:hint="eastAsia"/>
          <w:b/>
          <w:color w:val="000000"/>
          <w:sz w:val="24"/>
          <w:szCs w:val="24"/>
        </w:rPr>
        <w:t>、风险提示</w:t>
      </w:r>
    </w:p>
    <w:p w14:paraId="462BB402" w14:textId="65D3B178" w:rsidR="00F8785C" w:rsidRPr="009C2361" w:rsidRDefault="00F8785C" w:rsidP="00F8785C">
      <w:pPr>
        <w:widowControl/>
        <w:snapToGrid w:val="0"/>
        <w:spacing w:line="360" w:lineRule="auto"/>
        <w:ind w:firstLineChars="200" w:firstLine="480"/>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基金管理人承诺以诚实信用、勤勉尽责的原则管理和运用基金资产，但不保证一定盈利，也不保证最低收益。敬请投资者注意投资风险。投资者投资于本基金前应认真阅读本基金的基金合同和招募说明书。</w:t>
      </w:r>
    </w:p>
    <w:p w14:paraId="58AAABE0" w14:textId="77777777" w:rsidR="00F8785C" w:rsidRPr="009C2361" w:rsidRDefault="00F8785C" w:rsidP="00F8785C">
      <w:pPr>
        <w:widowControl/>
        <w:snapToGrid w:val="0"/>
        <w:spacing w:line="360" w:lineRule="auto"/>
        <w:ind w:firstLineChars="200" w:firstLine="480"/>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本公告的解释权归本公司所有。</w:t>
      </w:r>
    </w:p>
    <w:p w14:paraId="2690A437" w14:textId="77777777" w:rsidR="00F8785C" w:rsidRPr="009C2361" w:rsidRDefault="00F8785C" w:rsidP="00F8785C">
      <w:pPr>
        <w:widowControl/>
        <w:snapToGrid w:val="0"/>
        <w:spacing w:line="360" w:lineRule="auto"/>
        <w:ind w:firstLineChars="200" w:firstLine="480"/>
        <w:rPr>
          <w:rFonts w:asciiTheme="minorEastAsia" w:eastAsiaTheme="minorEastAsia" w:hAnsiTheme="minorEastAsia"/>
          <w:color w:val="000000"/>
          <w:sz w:val="24"/>
          <w:szCs w:val="24"/>
        </w:rPr>
      </w:pPr>
      <w:r w:rsidRPr="009C2361">
        <w:rPr>
          <w:rFonts w:asciiTheme="minorEastAsia" w:eastAsiaTheme="minorEastAsia" w:hAnsiTheme="minorEastAsia" w:hint="eastAsia"/>
          <w:color w:val="000000"/>
          <w:sz w:val="24"/>
          <w:szCs w:val="24"/>
        </w:rPr>
        <w:t>特此公告。</w:t>
      </w:r>
    </w:p>
    <w:p w14:paraId="15F8A4C7" w14:textId="77777777" w:rsidR="00F8785C" w:rsidRPr="009C2361" w:rsidRDefault="00F8785C" w:rsidP="00F8785C">
      <w:pPr>
        <w:widowControl/>
        <w:snapToGrid w:val="0"/>
        <w:spacing w:line="360" w:lineRule="auto"/>
        <w:ind w:firstLineChars="200" w:firstLine="480"/>
        <w:rPr>
          <w:rFonts w:asciiTheme="minorEastAsia" w:eastAsiaTheme="minorEastAsia" w:hAnsiTheme="minorEastAsia"/>
          <w:color w:val="000000"/>
          <w:sz w:val="24"/>
          <w:szCs w:val="24"/>
        </w:rPr>
      </w:pPr>
    </w:p>
    <w:p w14:paraId="7ED6351D" w14:textId="77777777" w:rsidR="00F8785C" w:rsidRPr="009C2361" w:rsidRDefault="00F8785C" w:rsidP="00F8785C">
      <w:pPr>
        <w:spacing w:line="360" w:lineRule="auto"/>
        <w:jc w:val="right"/>
        <w:rPr>
          <w:rFonts w:asciiTheme="minorEastAsia" w:eastAsiaTheme="minorEastAsia" w:hAnsiTheme="minorEastAsia"/>
          <w:sz w:val="24"/>
          <w:szCs w:val="24"/>
        </w:rPr>
      </w:pPr>
      <w:r w:rsidRPr="009C2361">
        <w:rPr>
          <w:rFonts w:asciiTheme="minorEastAsia" w:eastAsiaTheme="minorEastAsia" w:hAnsiTheme="minorEastAsia" w:hint="eastAsia"/>
          <w:sz w:val="24"/>
          <w:szCs w:val="24"/>
        </w:rPr>
        <w:t>富国基金管理有限公司</w:t>
      </w:r>
    </w:p>
    <w:p w14:paraId="7AC09D08" w14:textId="1D5031E4" w:rsidR="00F8785C" w:rsidRPr="009C2361" w:rsidRDefault="00F8785C" w:rsidP="00F8785C">
      <w:pPr>
        <w:spacing w:line="360" w:lineRule="auto"/>
        <w:jc w:val="right"/>
        <w:rPr>
          <w:rFonts w:asciiTheme="minorEastAsia" w:eastAsiaTheme="minorEastAsia" w:hAnsiTheme="minorEastAsia"/>
          <w:sz w:val="24"/>
          <w:szCs w:val="24"/>
        </w:rPr>
      </w:pPr>
      <w:r w:rsidRPr="009C2361">
        <w:rPr>
          <w:rFonts w:asciiTheme="minorEastAsia" w:eastAsiaTheme="minorEastAsia" w:hAnsiTheme="minorEastAsia" w:hint="eastAsia"/>
          <w:sz w:val="24"/>
          <w:szCs w:val="24"/>
        </w:rPr>
        <w:t>202</w:t>
      </w:r>
      <w:r w:rsidRPr="009C2361">
        <w:rPr>
          <w:rFonts w:asciiTheme="minorEastAsia" w:eastAsiaTheme="minorEastAsia" w:hAnsiTheme="minorEastAsia"/>
          <w:sz w:val="24"/>
          <w:szCs w:val="24"/>
        </w:rPr>
        <w:t>2</w:t>
      </w:r>
      <w:r w:rsidRPr="009C2361">
        <w:rPr>
          <w:rFonts w:asciiTheme="minorEastAsia" w:eastAsiaTheme="minorEastAsia" w:hAnsiTheme="minorEastAsia" w:hint="eastAsia"/>
          <w:sz w:val="24"/>
          <w:szCs w:val="24"/>
        </w:rPr>
        <w:t>年</w:t>
      </w:r>
      <w:r w:rsidR="009C2361">
        <w:rPr>
          <w:rFonts w:asciiTheme="minorEastAsia" w:eastAsiaTheme="minorEastAsia" w:hAnsiTheme="minorEastAsia"/>
          <w:sz w:val="24"/>
          <w:szCs w:val="24"/>
        </w:rPr>
        <w:t>6</w:t>
      </w:r>
      <w:r w:rsidRPr="009C2361">
        <w:rPr>
          <w:rFonts w:asciiTheme="minorEastAsia" w:eastAsiaTheme="minorEastAsia" w:hAnsiTheme="minorEastAsia" w:hint="eastAsia"/>
          <w:sz w:val="24"/>
          <w:szCs w:val="24"/>
        </w:rPr>
        <w:t>月</w:t>
      </w:r>
      <w:r w:rsidR="007F2A58">
        <w:rPr>
          <w:rFonts w:asciiTheme="minorEastAsia" w:eastAsiaTheme="minorEastAsia" w:hAnsiTheme="minorEastAsia"/>
          <w:sz w:val="24"/>
          <w:szCs w:val="24"/>
        </w:rPr>
        <w:t>8</w:t>
      </w:r>
      <w:r w:rsidRPr="009C2361">
        <w:rPr>
          <w:rFonts w:asciiTheme="minorEastAsia" w:eastAsiaTheme="minorEastAsia" w:hAnsiTheme="minorEastAsia" w:hint="eastAsia"/>
          <w:sz w:val="24"/>
          <w:szCs w:val="24"/>
        </w:rPr>
        <w:t>日</w:t>
      </w:r>
    </w:p>
    <w:p w14:paraId="26E58D49" w14:textId="77777777" w:rsidR="00F8785C" w:rsidRPr="009C2361" w:rsidRDefault="00F8785C" w:rsidP="00055197">
      <w:pPr>
        <w:rPr>
          <w:rFonts w:asciiTheme="minorEastAsia" w:eastAsiaTheme="minorEastAsia" w:hAnsiTheme="minorEastAsia"/>
        </w:rPr>
      </w:pPr>
    </w:p>
    <w:sectPr w:rsidR="00F8785C" w:rsidRPr="009C236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240" w16cex:dateUtc="2022-05-20T03:38:00Z"/>
  <w16cex:commentExtensible w16cex:durableId="26321241" w16cex:dateUtc="2022-05-20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CFAE2" w16cid:durableId="26321240"/>
  <w16cid:commentId w16cid:paraId="43F48D86" w16cid:durableId="263212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35726" w14:textId="77777777" w:rsidR="00E94511" w:rsidRDefault="00E94511" w:rsidP="009C415D">
      <w:r>
        <w:separator/>
      </w:r>
    </w:p>
  </w:endnote>
  <w:endnote w:type="continuationSeparator" w:id="0">
    <w:p w14:paraId="78F17FF2" w14:textId="77777777" w:rsidR="00E94511" w:rsidRDefault="00E94511" w:rsidP="009C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0F1A4" w14:textId="77777777" w:rsidR="00E94511" w:rsidRDefault="00E94511" w:rsidP="009C415D">
      <w:r>
        <w:separator/>
      </w:r>
    </w:p>
  </w:footnote>
  <w:footnote w:type="continuationSeparator" w:id="0">
    <w:p w14:paraId="1C0AB60B" w14:textId="77777777" w:rsidR="00E94511" w:rsidRDefault="00E94511" w:rsidP="009C4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F6762F"/>
    <w:multiLevelType w:val="singleLevel"/>
    <w:tmpl w:val="91F6762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5D"/>
    <w:rsid w:val="000245F6"/>
    <w:rsid w:val="00027128"/>
    <w:rsid w:val="00055197"/>
    <w:rsid w:val="00064182"/>
    <w:rsid w:val="000739E1"/>
    <w:rsid w:val="0008554E"/>
    <w:rsid w:val="000D2DE3"/>
    <w:rsid w:val="000E3E81"/>
    <w:rsid w:val="000F3FB6"/>
    <w:rsid w:val="00126663"/>
    <w:rsid w:val="00147FCC"/>
    <w:rsid w:val="001533A5"/>
    <w:rsid w:val="00175F89"/>
    <w:rsid w:val="001B5D77"/>
    <w:rsid w:val="00207A55"/>
    <w:rsid w:val="00233241"/>
    <w:rsid w:val="00276F83"/>
    <w:rsid w:val="00331AEA"/>
    <w:rsid w:val="00350399"/>
    <w:rsid w:val="00381A22"/>
    <w:rsid w:val="003A00DA"/>
    <w:rsid w:val="00444095"/>
    <w:rsid w:val="00473949"/>
    <w:rsid w:val="00474EB3"/>
    <w:rsid w:val="00487575"/>
    <w:rsid w:val="00491E9C"/>
    <w:rsid w:val="00492F9A"/>
    <w:rsid w:val="00497307"/>
    <w:rsid w:val="004A4220"/>
    <w:rsid w:val="005051B6"/>
    <w:rsid w:val="005561E8"/>
    <w:rsid w:val="00561FDE"/>
    <w:rsid w:val="005A7AEB"/>
    <w:rsid w:val="00603907"/>
    <w:rsid w:val="0061286B"/>
    <w:rsid w:val="00616D31"/>
    <w:rsid w:val="006248BE"/>
    <w:rsid w:val="00653C6B"/>
    <w:rsid w:val="00653C9B"/>
    <w:rsid w:val="00706FC8"/>
    <w:rsid w:val="0073100D"/>
    <w:rsid w:val="00732E64"/>
    <w:rsid w:val="007C63FF"/>
    <w:rsid w:val="007D5AD9"/>
    <w:rsid w:val="007D5B9C"/>
    <w:rsid w:val="007F2A58"/>
    <w:rsid w:val="008124D8"/>
    <w:rsid w:val="00842A8F"/>
    <w:rsid w:val="008669EF"/>
    <w:rsid w:val="00885943"/>
    <w:rsid w:val="00924EF9"/>
    <w:rsid w:val="00954CD8"/>
    <w:rsid w:val="00963B83"/>
    <w:rsid w:val="00983FD5"/>
    <w:rsid w:val="009B2F12"/>
    <w:rsid w:val="009B6882"/>
    <w:rsid w:val="009C2361"/>
    <w:rsid w:val="009C29F3"/>
    <w:rsid w:val="009C415D"/>
    <w:rsid w:val="00A13327"/>
    <w:rsid w:val="00A638E4"/>
    <w:rsid w:val="00AD5894"/>
    <w:rsid w:val="00AE6A89"/>
    <w:rsid w:val="00B30524"/>
    <w:rsid w:val="00BB7529"/>
    <w:rsid w:val="00C5126C"/>
    <w:rsid w:val="00C62731"/>
    <w:rsid w:val="00D06BD6"/>
    <w:rsid w:val="00D30431"/>
    <w:rsid w:val="00D53425"/>
    <w:rsid w:val="00DD2B92"/>
    <w:rsid w:val="00DE3CD5"/>
    <w:rsid w:val="00E12612"/>
    <w:rsid w:val="00E20B77"/>
    <w:rsid w:val="00E32954"/>
    <w:rsid w:val="00E51E57"/>
    <w:rsid w:val="00E8649C"/>
    <w:rsid w:val="00E94511"/>
    <w:rsid w:val="00ED37A2"/>
    <w:rsid w:val="00EE608D"/>
    <w:rsid w:val="00F26ED8"/>
    <w:rsid w:val="00F8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7D2D8"/>
  <w15:docId w15:val="{D52AB260-CF29-D244-82C6-3295C3CB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6B"/>
    <w:pPr>
      <w:widowControl w:val="0"/>
      <w:autoSpaceDE w:val="0"/>
      <w:autoSpaceDN w:val="0"/>
      <w:adjustRightInd w:val="0"/>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415D"/>
    <w:pPr>
      <w:widowControl/>
      <w:autoSpaceDE/>
      <w:autoSpaceDN/>
      <w:adjustRightInd/>
      <w:spacing w:before="100" w:beforeAutospacing="1" w:after="100" w:afterAutospacing="1" w:line="560" w:lineRule="exact"/>
      <w:ind w:firstLineChars="200" w:firstLine="200"/>
      <w:textAlignment w:val="auto"/>
    </w:pPr>
    <w:rPr>
      <w:rFonts w:ascii="宋体" w:hAnsi="宋体" w:cs="宋体"/>
      <w:color w:val="000000"/>
      <w:sz w:val="24"/>
      <w:szCs w:val="24"/>
    </w:rPr>
  </w:style>
  <w:style w:type="character" w:styleId="a4">
    <w:name w:val="annotation reference"/>
    <w:rsid w:val="009C415D"/>
    <w:rPr>
      <w:sz w:val="21"/>
      <w:szCs w:val="21"/>
    </w:rPr>
  </w:style>
  <w:style w:type="paragraph" w:styleId="a5">
    <w:name w:val="annotation text"/>
    <w:basedOn w:val="a"/>
    <w:link w:val="Char"/>
    <w:rsid w:val="009C415D"/>
  </w:style>
  <w:style w:type="character" w:customStyle="1" w:styleId="Char">
    <w:name w:val="批注文字 Char"/>
    <w:basedOn w:val="a0"/>
    <w:link w:val="a5"/>
    <w:rsid w:val="009C415D"/>
    <w:rPr>
      <w:rFonts w:ascii="Times New Roman" w:eastAsia="宋体" w:hAnsi="Times New Roman" w:cs="Times New Roman"/>
      <w:kern w:val="0"/>
      <w:sz w:val="20"/>
      <w:szCs w:val="20"/>
    </w:rPr>
  </w:style>
  <w:style w:type="paragraph" w:styleId="a6">
    <w:name w:val="footnote text"/>
    <w:basedOn w:val="a"/>
    <w:link w:val="Char0"/>
    <w:rsid w:val="009C415D"/>
    <w:pPr>
      <w:snapToGrid w:val="0"/>
    </w:pPr>
    <w:rPr>
      <w:sz w:val="18"/>
      <w:szCs w:val="18"/>
    </w:rPr>
  </w:style>
  <w:style w:type="character" w:customStyle="1" w:styleId="Char0">
    <w:name w:val="脚注文本 Char"/>
    <w:basedOn w:val="a0"/>
    <w:link w:val="a6"/>
    <w:rsid w:val="009C415D"/>
    <w:rPr>
      <w:rFonts w:ascii="Times New Roman" w:eastAsia="宋体" w:hAnsi="Times New Roman" w:cs="Times New Roman"/>
      <w:kern w:val="0"/>
      <w:sz w:val="18"/>
      <w:szCs w:val="18"/>
    </w:rPr>
  </w:style>
  <w:style w:type="character" w:styleId="a7">
    <w:name w:val="footnote reference"/>
    <w:rsid w:val="009C415D"/>
    <w:rPr>
      <w:vertAlign w:val="superscript"/>
    </w:rPr>
  </w:style>
  <w:style w:type="paragraph" w:styleId="a8">
    <w:name w:val="Balloon Text"/>
    <w:basedOn w:val="a"/>
    <w:link w:val="Char1"/>
    <w:uiPriority w:val="99"/>
    <w:semiHidden/>
    <w:unhideWhenUsed/>
    <w:rsid w:val="009C415D"/>
    <w:rPr>
      <w:sz w:val="18"/>
      <w:szCs w:val="18"/>
    </w:rPr>
  </w:style>
  <w:style w:type="character" w:customStyle="1" w:styleId="Char1">
    <w:name w:val="批注框文本 Char"/>
    <w:basedOn w:val="a0"/>
    <w:link w:val="a8"/>
    <w:uiPriority w:val="99"/>
    <w:semiHidden/>
    <w:rsid w:val="009C415D"/>
    <w:rPr>
      <w:rFonts w:ascii="Times New Roman" w:eastAsia="宋体" w:hAnsi="Times New Roman" w:cs="Times New Roman"/>
      <w:kern w:val="0"/>
      <w:sz w:val="18"/>
      <w:szCs w:val="18"/>
    </w:rPr>
  </w:style>
  <w:style w:type="paragraph" w:styleId="a9">
    <w:name w:val="header"/>
    <w:basedOn w:val="a"/>
    <w:link w:val="Char2"/>
    <w:uiPriority w:val="99"/>
    <w:unhideWhenUsed/>
    <w:rsid w:val="0061286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61286B"/>
    <w:rPr>
      <w:rFonts w:ascii="Times New Roman" w:eastAsia="宋体" w:hAnsi="Times New Roman" w:cs="Times New Roman"/>
      <w:kern w:val="0"/>
      <w:sz w:val="18"/>
      <w:szCs w:val="18"/>
    </w:rPr>
  </w:style>
  <w:style w:type="paragraph" w:styleId="aa">
    <w:name w:val="footer"/>
    <w:basedOn w:val="a"/>
    <w:link w:val="Char3"/>
    <w:uiPriority w:val="99"/>
    <w:unhideWhenUsed/>
    <w:rsid w:val="0061286B"/>
    <w:pPr>
      <w:tabs>
        <w:tab w:val="center" w:pos="4153"/>
        <w:tab w:val="right" w:pos="8306"/>
      </w:tabs>
      <w:snapToGrid w:val="0"/>
    </w:pPr>
    <w:rPr>
      <w:sz w:val="18"/>
      <w:szCs w:val="18"/>
    </w:rPr>
  </w:style>
  <w:style w:type="character" w:customStyle="1" w:styleId="Char3">
    <w:name w:val="页脚 Char"/>
    <w:basedOn w:val="a0"/>
    <w:link w:val="aa"/>
    <w:uiPriority w:val="99"/>
    <w:rsid w:val="0061286B"/>
    <w:rPr>
      <w:rFonts w:ascii="Times New Roman" w:eastAsia="宋体" w:hAnsi="Times New Roman" w:cs="Times New Roman"/>
      <w:kern w:val="0"/>
      <w:sz w:val="18"/>
      <w:szCs w:val="18"/>
    </w:rPr>
  </w:style>
  <w:style w:type="paragraph" w:styleId="ab">
    <w:name w:val="annotation subject"/>
    <w:basedOn w:val="a5"/>
    <w:next w:val="a5"/>
    <w:link w:val="Char4"/>
    <w:uiPriority w:val="99"/>
    <w:semiHidden/>
    <w:unhideWhenUsed/>
    <w:rsid w:val="00561FDE"/>
    <w:rPr>
      <w:b/>
      <w:bCs/>
    </w:rPr>
  </w:style>
  <w:style w:type="character" w:customStyle="1" w:styleId="Char4">
    <w:name w:val="批注主题 Char"/>
    <w:basedOn w:val="Char"/>
    <w:link w:val="ab"/>
    <w:uiPriority w:val="99"/>
    <w:semiHidden/>
    <w:rsid w:val="00561FDE"/>
    <w:rPr>
      <w:rFonts w:ascii="Times New Roman" w:eastAsia="宋体" w:hAnsi="Times New Roman" w:cs="Times New Roman"/>
      <w:b/>
      <w:bCs/>
      <w:kern w:val="0"/>
      <w:sz w:val="20"/>
      <w:szCs w:val="20"/>
    </w:rPr>
  </w:style>
  <w:style w:type="paragraph" w:styleId="ac">
    <w:name w:val="Revision"/>
    <w:hidden/>
    <w:uiPriority w:val="99"/>
    <w:semiHidden/>
    <w:rsid w:val="00AD5894"/>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70386">
      <w:bodyDiv w:val="1"/>
      <w:marLeft w:val="0"/>
      <w:marRight w:val="0"/>
      <w:marTop w:val="0"/>
      <w:marBottom w:val="0"/>
      <w:divBdr>
        <w:top w:val="none" w:sz="0" w:space="0" w:color="auto"/>
        <w:left w:val="none" w:sz="0" w:space="0" w:color="auto"/>
        <w:bottom w:val="none" w:sz="0" w:space="0" w:color="auto"/>
        <w:right w:val="none" w:sz="0" w:space="0" w:color="auto"/>
      </w:divBdr>
      <w:divsChild>
        <w:div w:id="2142990689">
          <w:marLeft w:val="0"/>
          <w:marRight w:val="0"/>
          <w:marTop w:val="0"/>
          <w:marBottom w:val="0"/>
          <w:divBdr>
            <w:top w:val="none" w:sz="0" w:space="0" w:color="auto"/>
            <w:left w:val="none" w:sz="0" w:space="0" w:color="auto"/>
            <w:bottom w:val="none" w:sz="0" w:space="0" w:color="auto"/>
            <w:right w:val="none" w:sz="0" w:space="0" w:color="auto"/>
          </w:divBdr>
        </w:div>
      </w:divsChild>
    </w:div>
    <w:div w:id="1018852357">
      <w:bodyDiv w:val="1"/>
      <w:marLeft w:val="0"/>
      <w:marRight w:val="0"/>
      <w:marTop w:val="0"/>
      <w:marBottom w:val="0"/>
      <w:divBdr>
        <w:top w:val="none" w:sz="0" w:space="0" w:color="auto"/>
        <w:left w:val="none" w:sz="0" w:space="0" w:color="auto"/>
        <w:bottom w:val="none" w:sz="0" w:space="0" w:color="auto"/>
        <w:right w:val="none" w:sz="0" w:space="0" w:color="auto"/>
      </w:divBdr>
    </w:div>
    <w:div w:id="18923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518</Words>
  <Characters>2958</Characters>
  <Application>Microsoft Office Word</Application>
  <DocSecurity>0</DocSecurity>
  <Lines>24</Lines>
  <Paragraphs>6</Paragraphs>
  <ScaleCrop>false</ScaleCrop>
  <Company>P R C</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 Wang</dc:creator>
  <cp:lastModifiedBy>陶人杰</cp:lastModifiedBy>
  <cp:revision>8</cp:revision>
  <dcterms:created xsi:type="dcterms:W3CDTF">2022-06-07T07:39:00Z</dcterms:created>
  <dcterms:modified xsi:type="dcterms:W3CDTF">2022-06-07T09:04:00Z</dcterms:modified>
</cp:coreProperties>
</file>