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284"/>
        <w:gridCol w:w="6521"/>
      </w:tblGrid>
      <w:tr w:rsidR="00037E01" w14:paraId="06491402" w14:textId="77777777">
        <w:trPr>
          <w:trHeight w:val="567"/>
        </w:trPr>
        <w:tc>
          <w:tcPr>
            <w:tcW w:w="3402" w:type="dxa"/>
            <w:vMerge w:val="restart"/>
            <w:vAlign w:val="center"/>
          </w:tcPr>
          <w:p w14:paraId="149B7084" w14:textId="77777777" w:rsidR="00037E01" w:rsidRDefault="00204A8E">
            <w:pPr>
              <w:jc w:val="center"/>
            </w:pPr>
            <w:r>
              <w:rPr>
                <w:rFonts w:hint="eastAsia"/>
                <w:noProof/>
              </w:rPr>
              <w:drawing>
                <wp:inline distT="0" distB="0" distL="0" distR="0" wp14:anchorId="68776671" wp14:editId="47A1FD8D">
                  <wp:extent cx="2051685" cy="490220"/>
                  <wp:effectExtent l="0" t="0" r="5715" b="5080"/>
                  <wp:docPr id="2" name="图片 2" descr="C:\Users\zhaomengxue\Desktop\首创证券简称\资源 1.png资源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haomengxue\Desktop\首创证券简称\资源 1.png资源 1"/>
                          <pic:cNvPicPr preferRelativeResize="0">
                            <a:picLocks noChangeAspect="1"/>
                          </pic:cNvPicPr>
                        </pic:nvPicPr>
                        <pic:blipFill>
                          <a:blip r:embed="rId9"/>
                          <a:srcRect/>
                          <a:stretch>
                            <a:fillRect/>
                          </a:stretch>
                        </pic:blipFill>
                        <pic:spPr>
                          <a:xfrm>
                            <a:off x="0" y="0"/>
                            <a:ext cx="2052000" cy="490220"/>
                          </a:xfrm>
                          <a:prstGeom prst="rect">
                            <a:avLst/>
                          </a:prstGeom>
                        </pic:spPr>
                      </pic:pic>
                    </a:graphicData>
                  </a:graphic>
                </wp:inline>
              </w:drawing>
            </w:r>
          </w:p>
        </w:tc>
        <w:tc>
          <w:tcPr>
            <w:tcW w:w="284" w:type="dxa"/>
            <w:tcBorders>
              <w:left w:val="nil"/>
            </w:tcBorders>
          </w:tcPr>
          <w:p w14:paraId="2A384701" w14:textId="77777777" w:rsidR="00037E01" w:rsidRDefault="00037E01"/>
        </w:tc>
        <w:tc>
          <w:tcPr>
            <w:tcW w:w="6521" w:type="dxa"/>
            <w:tcBorders>
              <w:bottom w:val="single" w:sz="12" w:space="0" w:color="auto"/>
            </w:tcBorders>
            <w:vAlign w:val="center"/>
          </w:tcPr>
          <w:p w14:paraId="4C08BD0A" w14:textId="77777777" w:rsidR="00037E01" w:rsidRDefault="00204A8E">
            <w:pPr>
              <w:pStyle w:val="-"/>
              <w:rPr>
                <w:color w:val="CC0000"/>
                <w:sz w:val="32"/>
                <w:szCs w:val="32"/>
              </w:rPr>
            </w:pPr>
            <w:r>
              <w:rPr>
                <w:rFonts w:hint="eastAsia"/>
                <w:sz w:val="32"/>
                <w:szCs w:val="32"/>
              </w:rPr>
              <w:t>晨会纪要</w:t>
            </w:r>
          </w:p>
        </w:tc>
      </w:tr>
      <w:tr w:rsidR="00037E01" w14:paraId="44067737" w14:textId="77777777">
        <w:trPr>
          <w:trHeight w:val="454"/>
        </w:trPr>
        <w:tc>
          <w:tcPr>
            <w:tcW w:w="3402" w:type="dxa"/>
            <w:vMerge/>
          </w:tcPr>
          <w:p w14:paraId="3C914F5E" w14:textId="77777777" w:rsidR="00037E01" w:rsidRDefault="00037E01"/>
        </w:tc>
        <w:tc>
          <w:tcPr>
            <w:tcW w:w="284" w:type="dxa"/>
            <w:tcBorders>
              <w:left w:val="nil"/>
            </w:tcBorders>
          </w:tcPr>
          <w:p w14:paraId="2D9E9D4B" w14:textId="77777777" w:rsidR="00037E01" w:rsidRDefault="00204A8E">
            <w:r>
              <w:rPr>
                <w:rFonts w:hint="eastAsia"/>
                <w:noProof/>
              </w:rPr>
              <mc:AlternateContent>
                <mc:Choice Requires="wps">
                  <w:drawing>
                    <wp:anchor distT="0" distB="0" distL="114300" distR="114300" simplePos="0" relativeHeight="251659264" behindDoc="0" locked="0" layoutInCell="1" allowOverlap="1" wp14:anchorId="2C88F7C5" wp14:editId="1D960979">
                      <wp:simplePos x="0" y="0"/>
                      <wp:positionH relativeFrom="column">
                        <wp:posOffset>27940</wp:posOffset>
                      </wp:positionH>
                      <wp:positionV relativeFrom="paragraph">
                        <wp:posOffset>-342900</wp:posOffset>
                      </wp:positionV>
                      <wp:extent cx="9525" cy="700405"/>
                      <wp:effectExtent l="0" t="0" r="28575" b="24130"/>
                      <wp:wrapNone/>
                      <wp:docPr id="3" name="直接连接符 3"/>
                      <wp:cNvGraphicFramePr/>
                      <a:graphic xmlns:a="http://schemas.openxmlformats.org/drawingml/2006/main">
                        <a:graphicData uri="http://schemas.microsoft.com/office/word/2010/wordprocessingShape">
                          <wps:wsp>
                            <wps:cNvCnPr/>
                            <wps:spPr>
                              <a:xfrm>
                                <a:off x="0" y="0"/>
                                <a:ext cx="9525" cy="700088"/>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2pt;margin-top:-27pt;height:55.15pt;width:0.75pt;z-index:251659264;mso-width-relative:page;mso-height-relative:page;" filled="f" stroked="t" coordsize="21600,21600" o:gfxdata="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Ic7+2gAAAAYB&#10;AAAPAAAAAAAAAAEAIAAAACIAAABkcnMvZG93bnJldi54bWxQSwECFAAUAAAACACHTuJAkZTLSuAB&#10;AACIAwAADgAAAAAAAAABACAAAAApAQAAZHJzL2Uyb0RvYy54bWxQSwUGAAAAAAYABgBZAQAAewUA&#10;AAAA&#10;">
                      <v:fill on="f" focussize="0,0"/>
                      <v:stroke weight="1.5pt" color="#AFABAB [2414]" miterlimit="8" joinstyle="miter"/>
                      <v:imagedata o:title=""/>
                      <o:lock v:ext="edit" aspectratio="f"/>
                    </v:line>
                  </w:pict>
                </mc:Fallback>
              </mc:AlternateContent>
            </w:r>
          </w:p>
        </w:tc>
        <w:tc>
          <w:tcPr>
            <w:tcW w:w="6521" w:type="dxa"/>
            <w:tcBorders>
              <w:top w:val="single" w:sz="12" w:space="0" w:color="auto"/>
            </w:tcBorders>
            <w:vAlign w:val="center"/>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tblGrid>
            <w:tr w:rsidR="00037E01" w14:paraId="1492DED5" w14:textId="77777777">
              <w:trPr>
                <w:trHeight w:hRule="exact" w:val="23"/>
              </w:trPr>
              <w:tc>
                <w:tcPr>
                  <w:tcW w:w="7088" w:type="dxa"/>
                </w:tcPr>
                <w:p w14:paraId="39051F69" w14:textId="77777777" w:rsidR="00037E01" w:rsidRDefault="00204A8E">
                  <w:bookmarkStart w:id="0" w:name="_Hlk55918076"/>
                  <w:r>
                    <w:rPr>
                      <w:rFonts w:ascii="楷体" w:eastAsia="楷体" w:hint="eastAsia"/>
                    </w:rPr>
                    <w:t>[</w:t>
                  </w:r>
                  <w:proofErr w:type="spellStart"/>
                  <w:r>
                    <w:rPr>
                      <w:rFonts w:ascii="楷体" w:eastAsia="楷体"/>
                    </w:rPr>
                    <w:t>Table_R</w:t>
                  </w:r>
                  <w:r>
                    <w:rPr>
                      <w:rFonts w:ascii="楷体" w:eastAsia="楷体" w:hint="eastAsia"/>
                    </w:rPr>
                    <w:t>eport</w:t>
                  </w:r>
                  <w:r>
                    <w:rPr>
                      <w:rFonts w:ascii="楷体" w:eastAsia="楷体"/>
                    </w:rPr>
                    <w:t>D</w:t>
                  </w:r>
                  <w:r>
                    <w:rPr>
                      <w:rFonts w:ascii="楷体" w:eastAsia="楷体" w:hint="eastAsia"/>
                    </w:rPr>
                    <w:t>ate</w:t>
                  </w:r>
                  <w:proofErr w:type="spellEnd"/>
                  <w:r>
                    <w:rPr>
                      <w:rFonts w:ascii="楷体" w:eastAsia="楷体"/>
                    </w:rPr>
                    <w:t>]</w:t>
                  </w:r>
                </w:p>
              </w:tc>
            </w:tr>
            <w:tr w:rsidR="00037E01" w14:paraId="50CB3A34" w14:textId="77777777">
              <w:trPr>
                <w:trHeight w:hRule="exact" w:val="454"/>
              </w:trPr>
              <w:tc>
                <w:tcPr>
                  <w:tcW w:w="7088" w:type="dxa"/>
                  <w:vAlign w:val="center"/>
                </w:tcPr>
                <w:p w14:paraId="617B4321" w14:textId="3ED92225" w:rsidR="00037E01" w:rsidRDefault="00204A8E">
                  <w:pPr>
                    <w:jc w:val="left"/>
                    <w:rPr>
                      <w:rFonts w:ascii="黑体" w:eastAsia="黑体" w:hAnsi="黑体"/>
                      <w:sz w:val="24"/>
                      <w:szCs w:val="24"/>
                    </w:rPr>
                  </w:pPr>
                  <w:r>
                    <w:rPr>
                      <w:rFonts w:ascii="黑体" w:eastAsia="黑体" w:hAnsi="黑体" w:hint="eastAsia"/>
                      <w:sz w:val="24"/>
                      <w:szCs w:val="24"/>
                    </w:rPr>
                    <w:t xml:space="preserve">首创证券研究发展部 </w:t>
                  </w:r>
                  <w:r>
                    <w:rPr>
                      <w:rFonts w:ascii="黑体" w:eastAsia="黑体" w:hAnsi="黑体"/>
                      <w:sz w:val="24"/>
                      <w:szCs w:val="24"/>
                    </w:rPr>
                    <w:t xml:space="preserve">| </w:t>
                  </w:r>
                  <w:r>
                    <w:rPr>
                      <w:rFonts w:ascii="黑体" w:eastAsia="黑体" w:hAnsi="黑体" w:hint="eastAsia"/>
                      <w:sz w:val="24"/>
                      <w:szCs w:val="24"/>
                    </w:rPr>
                    <w:t>202</w:t>
                  </w:r>
                  <w:r>
                    <w:rPr>
                      <w:rFonts w:ascii="黑体" w:eastAsia="黑体" w:hAnsi="黑体"/>
                      <w:sz w:val="24"/>
                      <w:szCs w:val="24"/>
                    </w:rPr>
                    <w:t>1</w:t>
                  </w:r>
                  <w:r>
                    <w:rPr>
                      <w:rFonts w:ascii="黑体" w:eastAsia="黑体" w:hAnsi="黑体" w:hint="eastAsia"/>
                      <w:sz w:val="24"/>
                      <w:szCs w:val="24"/>
                    </w:rPr>
                    <w:t>.</w:t>
                  </w:r>
                  <w:r>
                    <w:rPr>
                      <w:rFonts w:ascii="黑体" w:eastAsia="黑体" w:hAnsi="黑体"/>
                      <w:sz w:val="24"/>
                      <w:szCs w:val="24"/>
                    </w:rPr>
                    <w:t>11</w:t>
                  </w:r>
                  <w:r>
                    <w:rPr>
                      <w:rFonts w:ascii="黑体" w:eastAsia="黑体" w:hAnsi="黑体" w:hint="eastAsia"/>
                      <w:sz w:val="24"/>
                      <w:szCs w:val="24"/>
                    </w:rPr>
                    <w:t>.1</w:t>
                  </w:r>
                  <w:r w:rsidR="00436EF7">
                    <w:rPr>
                      <w:rFonts w:ascii="黑体" w:eastAsia="黑体" w:hAnsi="黑体"/>
                      <w:sz w:val="24"/>
                      <w:szCs w:val="24"/>
                    </w:rPr>
                    <w:t>5</w:t>
                  </w:r>
                </w:p>
              </w:tc>
            </w:tr>
            <w:bookmarkEnd w:id="0"/>
          </w:tbl>
          <w:p w14:paraId="1F84C857" w14:textId="77777777" w:rsidR="00037E01" w:rsidRDefault="00037E01">
            <w:pPr>
              <w:pStyle w:val="-0"/>
              <w:rPr>
                <w:color w:val="DA0000"/>
              </w:rPr>
            </w:pPr>
          </w:p>
        </w:tc>
      </w:tr>
    </w:tbl>
    <w:p w14:paraId="47184901" w14:textId="77777777" w:rsidR="00037E01" w:rsidRDefault="00037E01">
      <w:pPr>
        <w:widowControl/>
        <w:jc w:val="left"/>
        <w:rPr>
          <w:rFonts w:ascii="Times New Roman" w:eastAsia="楷体" w:hAnsi="Times New Roman" w:cs="Times New Roman"/>
          <w:color w:val="333333"/>
          <w:shd w:val="clear" w:color="auto" w:fill="FFFFFF"/>
        </w:rPr>
      </w:pPr>
    </w:p>
    <w:tbl>
      <w:tblPr>
        <w:tblStyle w:val="ac"/>
        <w:tblW w:w="0" w:type="auto"/>
        <w:tblBorders>
          <w:top w:val="single" w:sz="8" w:space="0" w:color="D50000"/>
          <w:left w:val="none" w:sz="0" w:space="0" w:color="auto"/>
          <w:bottom w:val="single" w:sz="8" w:space="0" w:color="D50000"/>
          <w:right w:val="none" w:sz="0" w:space="0" w:color="auto"/>
          <w:insideH w:val="none" w:sz="0" w:space="0" w:color="auto"/>
          <w:insideV w:val="none" w:sz="0" w:space="0" w:color="auto"/>
        </w:tblBorders>
        <w:shd w:val="clear" w:color="auto" w:fill="D50000"/>
        <w:tblLook w:val="04A0" w:firstRow="1" w:lastRow="0" w:firstColumn="1" w:lastColumn="0" w:noHBand="0" w:noVBand="1"/>
      </w:tblPr>
      <w:tblGrid>
        <w:gridCol w:w="10194"/>
      </w:tblGrid>
      <w:tr w:rsidR="00037E01" w14:paraId="13B86E15" w14:textId="77777777">
        <w:tc>
          <w:tcPr>
            <w:tcW w:w="10194" w:type="dxa"/>
            <w:shd w:val="clear" w:color="auto" w:fill="D50000"/>
          </w:tcPr>
          <w:p w14:paraId="09B584E8" w14:textId="77777777" w:rsidR="00037E01" w:rsidRDefault="00204A8E">
            <w:pPr>
              <w:jc w:val="center"/>
              <w:rPr>
                <w:sz w:val="30"/>
                <w:szCs w:val="30"/>
              </w:rPr>
            </w:pPr>
            <w:r>
              <w:rPr>
                <w:rFonts w:ascii="黑体" w:eastAsia="黑体" w:hAnsi="黑体" w:cs="Times New Roman" w:hint="eastAsia"/>
                <w:b/>
                <w:bCs/>
                <w:color w:val="FFFFFF" w:themeColor="background1"/>
                <w:sz w:val="30"/>
                <w:szCs w:val="30"/>
              </w:rPr>
              <w:t>宏观经济分析</w:t>
            </w:r>
          </w:p>
        </w:tc>
      </w:tr>
    </w:tbl>
    <w:p w14:paraId="2563DF24" w14:textId="77777777" w:rsidR="00037E01" w:rsidRDefault="00037E01">
      <w:pPr>
        <w:spacing w:afterLines="50" w:after="120"/>
        <w:jc w:val="left"/>
        <w:rPr>
          <w:rFonts w:ascii="黑体" w:eastAsia="黑体" w:hAnsi="黑体" w:cs="Times New Roman"/>
          <w:b/>
          <w:bCs/>
          <w:color w:val="000000" w:themeColor="text1"/>
          <w:sz w:val="28"/>
          <w:szCs w:val="28"/>
        </w:rPr>
      </w:pPr>
    </w:p>
    <w:p w14:paraId="037434CF" w14:textId="1B0FA72B" w:rsidR="00037E01" w:rsidRDefault="00204A8E">
      <w:pPr>
        <w:spacing w:afterLines="50" w:after="120"/>
        <w:rPr>
          <w:rFonts w:ascii="黑体" w:eastAsia="黑体" w:hAnsi="黑体" w:cs="Times New Roman"/>
          <w:b/>
          <w:bCs/>
          <w:color w:val="000000" w:themeColor="text1"/>
          <w:sz w:val="28"/>
          <w:szCs w:val="28"/>
        </w:rPr>
      </w:pPr>
      <w:r>
        <w:rPr>
          <w:rFonts w:ascii="黑体" w:eastAsia="黑体" w:hAnsi="黑体" w:cs="Times New Roman" w:hint="eastAsia"/>
          <w:b/>
          <w:bCs/>
          <w:color w:val="000000" w:themeColor="text1"/>
          <w:sz w:val="28"/>
          <w:szCs w:val="28"/>
        </w:rPr>
        <w:t>宏观经济分析：</w:t>
      </w:r>
      <w:r w:rsidR="00436EF7" w:rsidRPr="00436EF7">
        <w:rPr>
          <w:rFonts w:ascii="黑体" w:eastAsia="黑体" w:hAnsi="黑体" w:cs="Times New Roman"/>
          <w:b/>
          <w:bCs/>
          <w:color w:val="000000" w:themeColor="text1"/>
          <w:sz w:val="28"/>
          <w:szCs w:val="28"/>
        </w:rPr>
        <w:t>地产阴霾现曙光，美国通胀扰动有限</w:t>
      </w:r>
    </w:p>
    <w:p w14:paraId="1C1A9CAD" w14:textId="77777777" w:rsidR="00037E01" w:rsidRDefault="00037E01">
      <w:pPr>
        <w:spacing w:afterLines="50" w:after="120"/>
        <w:ind w:firstLineChars="200" w:firstLine="420"/>
        <w:rPr>
          <w:rFonts w:ascii="Times New Roman" w:eastAsia="楷体" w:hAnsi="Times New Roman" w:cs="Times New Roman"/>
          <w:color w:val="333333"/>
          <w:shd w:val="clear" w:color="auto" w:fill="FFFFFF"/>
        </w:rPr>
      </w:pPr>
    </w:p>
    <w:p w14:paraId="547052E6" w14:textId="77777777" w:rsidR="00436EF7" w:rsidRPr="00436EF7" w:rsidRDefault="00436EF7" w:rsidP="00436EF7">
      <w:pPr>
        <w:spacing w:afterLines="50" w:after="1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市场回顾：</w:t>
      </w:r>
    </w:p>
    <w:p w14:paraId="742920EF"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p>
    <w:p w14:paraId="68E179CA"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国内市场方面，近期市场关于房地产行业的利好消息持续发酵，如并购不计入三道红线、</w:t>
      </w:r>
      <w:r w:rsidRPr="00436EF7">
        <w:rPr>
          <w:rFonts w:ascii="Times New Roman" w:eastAsia="楷体" w:hAnsi="Times New Roman" w:cs="Times New Roman"/>
          <w:color w:val="333333"/>
          <w:shd w:val="clear" w:color="auto" w:fill="FFFFFF"/>
        </w:rPr>
        <w:t>ABS</w:t>
      </w:r>
      <w:r w:rsidRPr="00436EF7">
        <w:rPr>
          <w:rFonts w:ascii="Times New Roman" w:eastAsia="楷体" w:hAnsi="Times New Roman" w:cs="Times New Roman"/>
          <w:color w:val="333333"/>
          <w:shd w:val="clear" w:color="auto" w:fill="FFFFFF"/>
        </w:rPr>
        <w:t>重新启动、交易商协会协助中票发行、按揭和开发贷上量等等，虽然尚未见到正式政策出台，但是市场对于政策托底形成了一致预期。因此，地产股大幅反弹，并带动相关行业齐涨。</w:t>
      </w:r>
    </w:p>
    <w:p w14:paraId="2D0A3C16"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p>
    <w:p w14:paraId="7CAFDB93"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地产需求端宽信用信号明确释放，</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月居民中长期贷款新增</w:t>
      </w:r>
      <w:r w:rsidRPr="00436EF7">
        <w:rPr>
          <w:rFonts w:ascii="Times New Roman" w:eastAsia="楷体" w:hAnsi="Times New Roman" w:cs="Times New Roman"/>
          <w:color w:val="333333"/>
          <w:shd w:val="clear" w:color="auto" w:fill="FFFFFF"/>
        </w:rPr>
        <w:t>4221</w:t>
      </w:r>
      <w:r w:rsidRPr="00436EF7">
        <w:rPr>
          <w:rFonts w:ascii="Times New Roman" w:eastAsia="楷体" w:hAnsi="Times New Roman" w:cs="Times New Roman"/>
          <w:color w:val="333333"/>
          <w:shd w:val="clear" w:color="auto" w:fill="FFFFFF"/>
        </w:rPr>
        <w:t>亿元，好于季节性，同比多增</w:t>
      </w:r>
      <w:r w:rsidRPr="00436EF7">
        <w:rPr>
          <w:rFonts w:ascii="Times New Roman" w:eastAsia="楷体" w:hAnsi="Times New Roman" w:cs="Times New Roman"/>
          <w:color w:val="333333"/>
          <w:shd w:val="clear" w:color="auto" w:fill="FFFFFF"/>
        </w:rPr>
        <w:t>162</w:t>
      </w:r>
      <w:r w:rsidRPr="00436EF7">
        <w:rPr>
          <w:rFonts w:ascii="Times New Roman" w:eastAsia="楷体" w:hAnsi="Times New Roman" w:cs="Times New Roman"/>
          <w:color w:val="333333"/>
          <w:shd w:val="clear" w:color="auto" w:fill="FFFFFF"/>
        </w:rPr>
        <w:t>亿元，为</w:t>
      </w:r>
      <w:r w:rsidRPr="00436EF7">
        <w:rPr>
          <w:rFonts w:ascii="Times New Roman" w:eastAsia="楷体" w:hAnsi="Times New Roman" w:cs="Times New Roman"/>
          <w:color w:val="333333"/>
          <w:shd w:val="clear" w:color="auto" w:fill="FFFFFF"/>
        </w:rPr>
        <w:t>5</w:t>
      </w:r>
      <w:r w:rsidRPr="00436EF7">
        <w:rPr>
          <w:rFonts w:ascii="Times New Roman" w:eastAsia="楷体" w:hAnsi="Times New Roman" w:cs="Times New Roman"/>
          <w:color w:val="333333"/>
          <w:shd w:val="clear" w:color="auto" w:fill="FFFFFF"/>
        </w:rPr>
        <w:t>月份以来首次正增长。另外</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月个人住房贷款余额</w:t>
      </w:r>
      <w:r w:rsidRPr="00436EF7">
        <w:rPr>
          <w:rFonts w:ascii="Times New Roman" w:eastAsia="楷体" w:hAnsi="Times New Roman" w:cs="Times New Roman"/>
          <w:color w:val="333333"/>
          <w:shd w:val="clear" w:color="auto" w:fill="FFFFFF"/>
        </w:rPr>
        <w:t>37.7</w:t>
      </w:r>
      <w:r w:rsidRPr="00436EF7">
        <w:rPr>
          <w:rFonts w:ascii="Times New Roman" w:eastAsia="楷体" w:hAnsi="Times New Roman" w:cs="Times New Roman"/>
          <w:color w:val="333333"/>
          <w:shd w:val="clear" w:color="auto" w:fill="FFFFFF"/>
        </w:rPr>
        <w:t>万亿元，当月增加</w:t>
      </w:r>
      <w:r w:rsidRPr="00436EF7">
        <w:rPr>
          <w:rFonts w:ascii="Times New Roman" w:eastAsia="楷体" w:hAnsi="Times New Roman" w:cs="Times New Roman"/>
          <w:color w:val="333333"/>
          <w:shd w:val="clear" w:color="auto" w:fill="FFFFFF"/>
        </w:rPr>
        <w:t>3481</w:t>
      </w:r>
      <w:r w:rsidRPr="00436EF7">
        <w:rPr>
          <w:rFonts w:ascii="Times New Roman" w:eastAsia="楷体" w:hAnsi="Times New Roman" w:cs="Times New Roman"/>
          <w:color w:val="333333"/>
          <w:shd w:val="clear" w:color="auto" w:fill="FFFFFF"/>
        </w:rPr>
        <w:t>亿元，较</w:t>
      </w:r>
      <w:r w:rsidRPr="00436EF7">
        <w:rPr>
          <w:rFonts w:ascii="Times New Roman" w:eastAsia="楷体" w:hAnsi="Times New Roman" w:cs="Times New Roman"/>
          <w:color w:val="333333"/>
          <w:shd w:val="clear" w:color="auto" w:fill="FFFFFF"/>
        </w:rPr>
        <w:t>9</w:t>
      </w:r>
      <w:r w:rsidRPr="00436EF7">
        <w:rPr>
          <w:rFonts w:ascii="Times New Roman" w:eastAsia="楷体" w:hAnsi="Times New Roman" w:cs="Times New Roman"/>
          <w:color w:val="333333"/>
          <w:shd w:val="clear" w:color="auto" w:fill="FFFFFF"/>
        </w:rPr>
        <w:t>月多增</w:t>
      </w:r>
      <w:r w:rsidRPr="00436EF7">
        <w:rPr>
          <w:rFonts w:ascii="Times New Roman" w:eastAsia="楷体" w:hAnsi="Times New Roman" w:cs="Times New Roman"/>
          <w:color w:val="333333"/>
          <w:shd w:val="clear" w:color="auto" w:fill="FFFFFF"/>
        </w:rPr>
        <w:t>1013</w:t>
      </w:r>
      <w:r w:rsidRPr="00436EF7">
        <w:rPr>
          <w:rFonts w:ascii="Times New Roman" w:eastAsia="楷体" w:hAnsi="Times New Roman" w:cs="Times New Roman"/>
          <w:color w:val="333333"/>
          <w:shd w:val="clear" w:color="auto" w:fill="FFFFFF"/>
        </w:rPr>
        <w:t>亿元；但供给端的管控可能仍然偏紧，各地为了保交楼，对期房预售金的监管趋严，叠加商品房销售额中期房销售占比仍居高位，或加剧了房企的流动性紧张。</w:t>
      </w:r>
    </w:p>
    <w:p w14:paraId="01879077"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p>
    <w:p w14:paraId="35943069"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海外市场方面，美国</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CPI</w:t>
      </w:r>
      <w:r w:rsidRPr="00436EF7">
        <w:rPr>
          <w:rFonts w:ascii="Times New Roman" w:eastAsia="楷体" w:hAnsi="Times New Roman" w:cs="Times New Roman"/>
          <w:color w:val="333333"/>
          <w:shd w:val="clear" w:color="auto" w:fill="FFFFFF"/>
        </w:rPr>
        <w:t>同比增</w:t>
      </w:r>
      <w:r w:rsidRPr="00436EF7">
        <w:rPr>
          <w:rFonts w:ascii="Times New Roman" w:eastAsia="楷体" w:hAnsi="Times New Roman" w:cs="Times New Roman"/>
          <w:color w:val="333333"/>
          <w:shd w:val="clear" w:color="auto" w:fill="FFFFFF"/>
        </w:rPr>
        <w:t>6.2%</w:t>
      </w:r>
      <w:r w:rsidRPr="00436EF7">
        <w:rPr>
          <w:rFonts w:ascii="Times New Roman" w:eastAsia="楷体" w:hAnsi="Times New Roman" w:cs="Times New Roman"/>
          <w:color w:val="333333"/>
          <w:shd w:val="clear" w:color="auto" w:fill="FFFFFF"/>
        </w:rPr>
        <w:t>，前值</w:t>
      </w:r>
      <w:r w:rsidRPr="00436EF7">
        <w:rPr>
          <w:rFonts w:ascii="Times New Roman" w:eastAsia="楷体" w:hAnsi="Times New Roman" w:cs="Times New Roman"/>
          <w:color w:val="333333"/>
          <w:shd w:val="clear" w:color="auto" w:fill="FFFFFF"/>
        </w:rPr>
        <w:t>5.4%</w:t>
      </w:r>
      <w:r w:rsidRPr="00436EF7">
        <w:rPr>
          <w:rFonts w:ascii="Times New Roman" w:eastAsia="楷体" w:hAnsi="Times New Roman" w:cs="Times New Roman"/>
          <w:color w:val="333333"/>
          <w:shd w:val="clear" w:color="auto" w:fill="FFFFFF"/>
        </w:rPr>
        <w:t>，市场预期</w:t>
      </w:r>
      <w:r w:rsidRPr="00436EF7">
        <w:rPr>
          <w:rFonts w:ascii="Times New Roman" w:eastAsia="楷体" w:hAnsi="Times New Roman" w:cs="Times New Roman"/>
          <w:color w:val="333333"/>
          <w:shd w:val="clear" w:color="auto" w:fill="FFFFFF"/>
        </w:rPr>
        <w:t>5.8%;CPI</w:t>
      </w:r>
      <w:r w:rsidRPr="00436EF7">
        <w:rPr>
          <w:rFonts w:ascii="Times New Roman" w:eastAsia="楷体" w:hAnsi="Times New Roman" w:cs="Times New Roman"/>
          <w:color w:val="333333"/>
          <w:shd w:val="clear" w:color="auto" w:fill="FFFFFF"/>
        </w:rPr>
        <w:t>环比增</w:t>
      </w:r>
      <w:r w:rsidRPr="00436EF7">
        <w:rPr>
          <w:rFonts w:ascii="Times New Roman" w:eastAsia="楷体" w:hAnsi="Times New Roman" w:cs="Times New Roman"/>
          <w:color w:val="333333"/>
          <w:shd w:val="clear" w:color="auto" w:fill="FFFFFF"/>
        </w:rPr>
        <w:t>0.9%</w:t>
      </w:r>
      <w:r w:rsidRPr="00436EF7">
        <w:rPr>
          <w:rFonts w:ascii="Times New Roman" w:eastAsia="楷体" w:hAnsi="Times New Roman" w:cs="Times New Roman"/>
          <w:color w:val="333333"/>
          <w:shd w:val="clear" w:color="auto" w:fill="FFFFFF"/>
        </w:rPr>
        <w:t>，前值</w:t>
      </w:r>
      <w:r w:rsidRPr="00436EF7">
        <w:rPr>
          <w:rFonts w:ascii="Times New Roman" w:eastAsia="楷体" w:hAnsi="Times New Roman" w:cs="Times New Roman"/>
          <w:color w:val="333333"/>
          <w:shd w:val="clear" w:color="auto" w:fill="FFFFFF"/>
        </w:rPr>
        <w:t>0.4%</w:t>
      </w:r>
      <w:r w:rsidRPr="00436EF7">
        <w:rPr>
          <w:rFonts w:ascii="Times New Roman" w:eastAsia="楷体" w:hAnsi="Times New Roman" w:cs="Times New Roman"/>
          <w:color w:val="333333"/>
          <w:shd w:val="clear" w:color="auto" w:fill="FFFFFF"/>
        </w:rPr>
        <w:t>，市场预期</w:t>
      </w:r>
      <w:r w:rsidRPr="00436EF7">
        <w:rPr>
          <w:rFonts w:ascii="Times New Roman" w:eastAsia="楷体" w:hAnsi="Times New Roman" w:cs="Times New Roman"/>
          <w:color w:val="333333"/>
          <w:shd w:val="clear" w:color="auto" w:fill="FFFFFF"/>
        </w:rPr>
        <w:t>0.6%</w:t>
      </w:r>
      <w:r w:rsidRPr="00436EF7">
        <w:rPr>
          <w:rFonts w:ascii="Times New Roman" w:eastAsia="楷体" w:hAnsi="Times New Roman" w:cs="Times New Roman"/>
          <w:color w:val="333333"/>
          <w:shd w:val="clear" w:color="auto" w:fill="FFFFFF"/>
        </w:rPr>
        <w:t>；核心</w:t>
      </w:r>
      <w:r w:rsidRPr="00436EF7">
        <w:rPr>
          <w:rFonts w:ascii="Times New Roman" w:eastAsia="楷体" w:hAnsi="Times New Roman" w:cs="Times New Roman"/>
          <w:color w:val="333333"/>
          <w:shd w:val="clear" w:color="auto" w:fill="FFFFFF"/>
        </w:rPr>
        <w:t>CPI</w:t>
      </w:r>
      <w:r w:rsidRPr="00436EF7">
        <w:rPr>
          <w:rFonts w:ascii="Times New Roman" w:eastAsia="楷体" w:hAnsi="Times New Roman" w:cs="Times New Roman"/>
          <w:color w:val="333333"/>
          <w:shd w:val="clear" w:color="auto" w:fill="FFFFFF"/>
        </w:rPr>
        <w:t>同比增</w:t>
      </w:r>
      <w:r w:rsidRPr="00436EF7">
        <w:rPr>
          <w:rFonts w:ascii="Times New Roman" w:eastAsia="楷体" w:hAnsi="Times New Roman" w:cs="Times New Roman"/>
          <w:color w:val="333333"/>
          <w:shd w:val="clear" w:color="auto" w:fill="FFFFFF"/>
        </w:rPr>
        <w:t xml:space="preserve">4.6%, </w:t>
      </w:r>
      <w:r w:rsidRPr="00436EF7">
        <w:rPr>
          <w:rFonts w:ascii="Times New Roman" w:eastAsia="楷体" w:hAnsi="Times New Roman" w:cs="Times New Roman"/>
          <w:color w:val="333333"/>
          <w:shd w:val="clear" w:color="auto" w:fill="FFFFFF"/>
        </w:rPr>
        <w:t>前值</w:t>
      </w:r>
      <w:r w:rsidRPr="00436EF7">
        <w:rPr>
          <w:rFonts w:ascii="Times New Roman" w:eastAsia="楷体" w:hAnsi="Times New Roman" w:cs="Times New Roman"/>
          <w:color w:val="333333"/>
          <w:shd w:val="clear" w:color="auto" w:fill="FFFFFF"/>
        </w:rPr>
        <w:t>4%</w:t>
      </w:r>
      <w:r w:rsidRPr="00436EF7">
        <w:rPr>
          <w:rFonts w:ascii="Times New Roman" w:eastAsia="楷体" w:hAnsi="Times New Roman" w:cs="Times New Roman"/>
          <w:color w:val="333333"/>
          <w:shd w:val="clear" w:color="auto" w:fill="FFFFFF"/>
        </w:rPr>
        <w:t>，市场预期</w:t>
      </w:r>
      <w:r w:rsidRPr="00436EF7">
        <w:rPr>
          <w:rFonts w:ascii="Times New Roman" w:eastAsia="楷体" w:hAnsi="Times New Roman" w:cs="Times New Roman"/>
          <w:color w:val="333333"/>
          <w:shd w:val="clear" w:color="auto" w:fill="FFFFFF"/>
        </w:rPr>
        <w:t>4.3%</w:t>
      </w:r>
      <w:r w:rsidRPr="00436EF7">
        <w:rPr>
          <w:rFonts w:ascii="Times New Roman" w:eastAsia="楷体" w:hAnsi="Times New Roman" w:cs="Times New Roman"/>
          <w:color w:val="333333"/>
          <w:shd w:val="clear" w:color="auto" w:fill="FFFFFF"/>
        </w:rPr>
        <w:t>；核心</w:t>
      </w:r>
      <w:r w:rsidRPr="00436EF7">
        <w:rPr>
          <w:rFonts w:ascii="Times New Roman" w:eastAsia="楷体" w:hAnsi="Times New Roman" w:cs="Times New Roman"/>
          <w:color w:val="333333"/>
          <w:shd w:val="clear" w:color="auto" w:fill="FFFFFF"/>
        </w:rPr>
        <w:t>CPI</w:t>
      </w:r>
      <w:r w:rsidRPr="00436EF7">
        <w:rPr>
          <w:rFonts w:ascii="Times New Roman" w:eastAsia="楷体" w:hAnsi="Times New Roman" w:cs="Times New Roman"/>
          <w:color w:val="333333"/>
          <w:shd w:val="clear" w:color="auto" w:fill="FFFFFF"/>
        </w:rPr>
        <w:t>环比增</w:t>
      </w:r>
      <w:r w:rsidRPr="00436EF7">
        <w:rPr>
          <w:rFonts w:ascii="Times New Roman" w:eastAsia="楷体" w:hAnsi="Times New Roman" w:cs="Times New Roman"/>
          <w:color w:val="333333"/>
          <w:shd w:val="clear" w:color="auto" w:fill="FFFFFF"/>
        </w:rPr>
        <w:t>0.6%</w:t>
      </w:r>
      <w:r w:rsidRPr="00436EF7">
        <w:rPr>
          <w:rFonts w:ascii="Times New Roman" w:eastAsia="楷体" w:hAnsi="Times New Roman" w:cs="Times New Roman"/>
          <w:color w:val="333333"/>
          <w:shd w:val="clear" w:color="auto" w:fill="FFFFFF"/>
        </w:rPr>
        <w:t>，前值</w:t>
      </w:r>
      <w:r w:rsidRPr="00436EF7">
        <w:rPr>
          <w:rFonts w:ascii="Times New Roman" w:eastAsia="楷体" w:hAnsi="Times New Roman" w:cs="Times New Roman"/>
          <w:color w:val="333333"/>
          <w:shd w:val="clear" w:color="auto" w:fill="FFFFFF"/>
        </w:rPr>
        <w:t>0.2%</w:t>
      </w:r>
      <w:r w:rsidRPr="00436EF7">
        <w:rPr>
          <w:rFonts w:ascii="Times New Roman" w:eastAsia="楷体" w:hAnsi="Times New Roman" w:cs="Times New Roman"/>
          <w:color w:val="333333"/>
          <w:shd w:val="clear" w:color="auto" w:fill="FFFFFF"/>
        </w:rPr>
        <w:t>，市场预期</w:t>
      </w:r>
      <w:r w:rsidRPr="00436EF7">
        <w:rPr>
          <w:rFonts w:ascii="Times New Roman" w:eastAsia="楷体" w:hAnsi="Times New Roman" w:cs="Times New Roman"/>
          <w:color w:val="333333"/>
          <w:shd w:val="clear" w:color="auto" w:fill="FFFFFF"/>
        </w:rPr>
        <w:t>0.4%</w:t>
      </w:r>
      <w:r w:rsidRPr="00436EF7">
        <w:rPr>
          <w:rFonts w:ascii="Times New Roman" w:eastAsia="楷体" w:hAnsi="Times New Roman" w:cs="Times New Roman"/>
          <w:color w:val="333333"/>
          <w:shd w:val="clear" w:color="auto" w:fill="FFFFFF"/>
        </w:rPr>
        <w:t>。美国</w:t>
      </w:r>
      <w:r w:rsidRPr="00436EF7">
        <w:rPr>
          <w:rFonts w:ascii="Times New Roman" w:eastAsia="楷体" w:hAnsi="Times New Roman" w:cs="Times New Roman"/>
          <w:color w:val="333333"/>
          <w:shd w:val="clear" w:color="auto" w:fill="FFFFFF"/>
        </w:rPr>
        <w:t>CPI</w:t>
      </w:r>
      <w:r w:rsidRPr="00436EF7">
        <w:rPr>
          <w:rFonts w:ascii="Times New Roman" w:eastAsia="楷体" w:hAnsi="Times New Roman" w:cs="Times New Roman"/>
          <w:color w:val="333333"/>
          <w:shd w:val="clear" w:color="auto" w:fill="FFFFFF"/>
        </w:rPr>
        <w:t>同比和环比均超预期上涨，是全球大宗商品价格上行、美国供应链紧缩以及经济活动回升等因素的合力所致。</w:t>
      </w:r>
    </w:p>
    <w:p w14:paraId="1112095C"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p>
    <w:p w14:paraId="7BFDC065"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在美国通胀数据影响下，</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年期、</w:t>
      </w:r>
      <w:r w:rsidRPr="00436EF7">
        <w:rPr>
          <w:rFonts w:ascii="Times New Roman" w:eastAsia="楷体" w:hAnsi="Times New Roman" w:cs="Times New Roman"/>
          <w:color w:val="333333"/>
          <w:shd w:val="clear" w:color="auto" w:fill="FFFFFF"/>
        </w:rPr>
        <w:t>2</w:t>
      </w:r>
      <w:r w:rsidRPr="00436EF7">
        <w:rPr>
          <w:rFonts w:ascii="Times New Roman" w:eastAsia="楷体" w:hAnsi="Times New Roman" w:cs="Times New Roman"/>
          <w:color w:val="333333"/>
          <w:shd w:val="clear" w:color="auto" w:fill="FFFFFF"/>
        </w:rPr>
        <w:t>年期美债收益率分别上行</w:t>
      </w:r>
      <w:r w:rsidRPr="00436EF7">
        <w:rPr>
          <w:rFonts w:ascii="Times New Roman" w:eastAsia="楷体" w:hAnsi="Times New Roman" w:cs="Times New Roman"/>
          <w:color w:val="333333"/>
          <w:shd w:val="clear" w:color="auto" w:fill="FFFFFF"/>
        </w:rPr>
        <w:t>10BP</w:t>
      </w:r>
      <w:r w:rsidRPr="00436EF7">
        <w:rPr>
          <w:rFonts w:ascii="Times New Roman" w:eastAsia="楷体" w:hAnsi="Times New Roman" w:cs="Times New Roman"/>
          <w:color w:val="333333"/>
          <w:shd w:val="clear" w:color="auto" w:fill="FFFFFF"/>
        </w:rPr>
        <w:t>和</w:t>
      </w:r>
      <w:r w:rsidRPr="00436EF7">
        <w:rPr>
          <w:rFonts w:ascii="Times New Roman" w:eastAsia="楷体" w:hAnsi="Times New Roman" w:cs="Times New Roman"/>
          <w:color w:val="333333"/>
          <w:shd w:val="clear" w:color="auto" w:fill="FFFFFF"/>
        </w:rPr>
        <w:t>6BP</w:t>
      </w:r>
      <w:r w:rsidRPr="00436EF7">
        <w:rPr>
          <w:rFonts w:ascii="Times New Roman" w:eastAsia="楷体" w:hAnsi="Times New Roman" w:cs="Times New Roman"/>
          <w:color w:val="333333"/>
          <w:shd w:val="clear" w:color="auto" w:fill="FFFFFF"/>
        </w:rPr>
        <w:t>。黄金价格上冲</w:t>
      </w:r>
      <w:r w:rsidRPr="00436EF7">
        <w:rPr>
          <w:rFonts w:ascii="Times New Roman" w:eastAsia="楷体" w:hAnsi="Times New Roman" w:cs="Times New Roman"/>
          <w:color w:val="333333"/>
          <w:shd w:val="clear" w:color="auto" w:fill="FFFFFF"/>
        </w:rPr>
        <w:t>1860</w:t>
      </w:r>
      <w:r w:rsidRPr="00436EF7">
        <w:rPr>
          <w:rFonts w:ascii="Times New Roman" w:eastAsia="楷体" w:hAnsi="Times New Roman" w:cs="Times New Roman"/>
          <w:color w:val="333333"/>
          <w:shd w:val="clear" w:color="auto" w:fill="FFFFFF"/>
        </w:rPr>
        <w:t>美元后高位震荡，纳指出现下行。但国内资本市场反应平淡，</w:t>
      </w:r>
      <w:r w:rsidRPr="00436EF7">
        <w:rPr>
          <w:rFonts w:ascii="Times New Roman" w:eastAsia="楷体" w:hAnsi="Times New Roman" w:cs="Times New Roman"/>
          <w:color w:val="333333"/>
          <w:shd w:val="clear" w:color="auto" w:fill="FFFFFF"/>
        </w:rPr>
        <w:t>A</w:t>
      </w:r>
      <w:r w:rsidRPr="00436EF7">
        <w:rPr>
          <w:rFonts w:ascii="Times New Roman" w:eastAsia="楷体" w:hAnsi="Times New Roman" w:cs="Times New Roman"/>
          <w:color w:val="333333"/>
          <w:shd w:val="clear" w:color="auto" w:fill="FFFFFF"/>
        </w:rPr>
        <w:t>股、债均小幅震荡。需要关注的是美联储接下来平衡经济增长和通胀的政策摆布。</w:t>
      </w:r>
    </w:p>
    <w:p w14:paraId="135252CD" w14:textId="77777777" w:rsidR="00436EF7" w:rsidRPr="00436EF7" w:rsidRDefault="00436EF7" w:rsidP="00436EF7">
      <w:pPr>
        <w:spacing w:afterLines="50" w:after="120"/>
        <w:rPr>
          <w:rFonts w:ascii="Times New Roman" w:eastAsia="楷体" w:hAnsi="Times New Roman" w:cs="Times New Roman" w:hint="eastAsia"/>
          <w:color w:val="333333"/>
          <w:shd w:val="clear" w:color="auto" w:fill="FFFFFF"/>
        </w:rPr>
      </w:pPr>
    </w:p>
    <w:p w14:paraId="583F30C7" w14:textId="77777777" w:rsidR="00436EF7" w:rsidRPr="00436EF7" w:rsidRDefault="00436EF7" w:rsidP="00436EF7">
      <w:pPr>
        <w:spacing w:afterLines="50" w:after="1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后市展望：</w:t>
      </w:r>
    </w:p>
    <w:p w14:paraId="0B3F25E0"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p>
    <w:p w14:paraId="0BEF1520" w14:textId="109CC537" w:rsidR="00037E01"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往后看，随着若干房地产政策的放松及政府维稳信号的明确释放，危机模式暂时解除，但不确定性仍存，房地产各项指标可能不会出现大幅反弹，对经济的拖累仍在，经济整体弱势平稳的趋势可能延续，股债延续震荡。需继续关注疫情的变化以及房地产政策的变动。</w:t>
      </w:r>
    </w:p>
    <w:p w14:paraId="6E0A13E3" w14:textId="77777777" w:rsidR="00037E01" w:rsidRDefault="00037E01">
      <w:pPr>
        <w:spacing w:afterLines="50" w:after="120"/>
        <w:rPr>
          <w:rFonts w:ascii="Times New Roman" w:eastAsia="楷体" w:hAnsi="Times New Roman" w:cs="Times New Roman"/>
          <w:color w:val="333333"/>
          <w:shd w:val="clear" w:color="auto" w:fill="FFFFFF"/>
        </w:rPr>
      </w:pPr>
    </w:p>
    <w:p w14:paraId="13A9CC33" w14:textId="3B371715" w:rsidR="00037E01" w:rsidRDefault="00204A8E">
      <w:pPr>
        <w:spacing w:afterLines="50" w:after="120"/>
        <w:rPr>
          <w:rFonts w:ascii="Times New Roman" w:eastAsia="楷体" w:hAnsi="Times New Roman" w:cs="Times New Roman"/>
          <w:color w:val="333333"/>
          <w:shd w:val="clear" w:color="auto" w:fill="FFFFFF"/>
        </w:rPr>
      </w:pPr>
      <w:r>
        <w:rPr>
          <w:rFonts w:ascii="Times New Roman" w:eastAsia="楷体" w:hAnsi="Times New Roman" w:cs="Times New Roman" w:hint="eastAsia"/>
          <w:color w:val="333333"/>
          <w:shd w:val="clear" w:color="auto" w:fill="FFFFFF"/>
        </w:rPr>
        <w:t>（分析师：韦志超，执业证书编号：</w:t>
      </w:r>
      <w:r>
        <w:rPr>
          <w:rFonts w:ascii="Times New Roman" w:eastAsia="楷体" w:hAnsi="Times New Roman" w:cs="Times New Roman" w:hint="eastAsia"/>
          <w:color w:val="333333"/>
          <w:shd w:val="clear" w:color="auto" w:fill="FFFFFF"/>
        </w:rPr>
        <w:t>S0110520110004</w:t>
      </w:r>
      <w:r>
        <w:rPr>
          <w:rFonts w:ascii="Times New Roman" w:eastAsia="楷体" w:hAnsi="Times New Roman" w:cs="Times New Roman" w:hint="eastAsia"/>
          <w:color w:val="333333"/>
          <w:shd w:val="clear" w:color="auto" w:fill="FFFFFF"/>
        </w:rPr>
        <w:t>，研究助理：</w:t>
      </w:r>
      <w:r w:rsidR="00436EF7" w:rsidRPr="00436EF7">
        <w:rPr>
          <w:rFonts w:ascii="Times New Roman" w:eastAsia="楷体" w:hAnsi="Times New Roman" w:cs="Times New Roman"/>
          <w:color w:val="333333"/>
          <w:shd w:val="clear" w:color="auto" w:fill="FFFFFF"/>
        </w:rPr>
        <w:t>杨亚仙</w:t>
      </w:r>
      <w:r>
        <w:rPr>
          <w:rFonts w:ascii="Times New Roman" w:eastAsia="楷体" w:hAnsi="Times New Roman" w:cs="Times New Roman" w:hint="eastAsia"/>
          <w:color w:val="333333"/>
          <w:shd w:val="clear" w:color="auto" w:fill="FFFFFF"/>
        </w:rPr>
        <w:t>）</w:t>
      </w:r>
    </w:p>
    <w:p w14:paraId="740B872F" w14:textId="77777777" w:rsidR="00037E01" w:rsidRDefault="00037E01">
      <w:pPr>
        <w:widowControl/>
        <w:jc w:val="left"/>
        <w:rPr>
          <w:rFonts w:ascii="Times New Roman" w:eastAsia="楷体" w:hAnsi="Times New Roman" w:cs="Times New Roman"/>
          <w:color w:val="333333"/>
          <w:shd w:val="clear" w:color="auto" w:fill="FFFFFF"/>
        </w:rPr>
      </w:pPr>
    </w:p>
    <w:p w14:paraId="794DFAED" w14:textId="77777777" w:rsidR="00037E01" w:rsidRDefault="00037E01">
      <w:pPr>
        <w:widowControl/>
        <w:jc w:val="left"/>
        <w:rPr>
          <w:rFonts w:ascii="Times New Roman" w:eastAsia="楷体" w:hAnsi="Times New Roman" w:cs="Times New Roman"/>
          <w:color w:val="333333"/>
          <w:shd w:val="clear" w:color="auto" w:fill="FFFFFF"/>
        </w:rPr>
      </w:pPr>
    </w:p>
    <w:p w14:paraId="3FA042D2" w14:textId="77777777" w:rsidR="00037E01" w:rsidRDefault="00037E01">
      <w:pPr>
        <w:widowControl/>
        <w:jc w:val="left"/>
        <w:rPr>
          <w:rFonts w:ascii="Times New Roman" w:eastAsia="楷体" w:hAnsi="Times New Roman" w:cs="Times New Roman"/>
          <w:color w:val="333333"/>
          <w:shd w:val="clear" w:color="auto" w:fill="FFFFFF"/>
        </w:rPr>
      </w:pPr>
    </w:p>
    <w:p w14:paraId="02303B59" w14:textId="77777777" w:rsidR="00037E01" w:rsidRDefault="00037E01">
      <w:pPr>
        <w:widowControl/>
        <w:jc w:val="left"/>
        <w:rPr>
          <w:rFonts w:ascii="Times New Roman" w:eastAsia="楷体" w:hAnsi="Times New Roman" w:cs="Times New Roman"/>
          <w:color w:val="333333"/>
          <w:shd w:val="clear" w:color="auto" w:fill="FFFFFF"/>
        </w:rPr>
      </w:pPr>
    </w:p>
    <w:p w14:paraId="0F617CA2" w14:textId="77777777" w:rsidR="00037E01" w:rsidRDefault="00037E01">
      <w:pPr>
        <w:widowControl/>
        <w:jc w:val="left"/>
        <w:rPr>
          <w:rFonts w:ascii="Times New Roman" w:eastAsia="楷体" w:hAnsi="Times New Roman" w:cs="Times New Roman"/>
          <w:color w:val="333333"/>
          <w:shd w:val="clear" w:color="auto" w:fill="FFFFFF"/>
        </w:rPr>
      </w:pPr>
    </w:p>
    <w:p w14:paraId="29F70848" w14:textId="77777777" w:rsidR="00037E01" w:rsidRDefault="00037E01">
      <w:pPr>
        <w:widowControl/>
        <w:jc w:val="left"/>
        <w:rPr>
          <w:rFonts w:ascii="Times New Roman" w:eastAsia="楷体" w:hAnsi="Times New Roman" w:cs="Times New Roman"/>
          <w:color w:val="333333"/>
          <w:shd w:val="clear" w:color="auto" w:fill="FFFFFF"/>
        </w:rPr>
      </w:pPr>
    </w:p>
    <w:p w14:paraId="050569D5" w14:textId="5186CCAE" w:rsidR="00037E01" w:rsidRDefault="00037E01">
      <w:pPr>
        <w:widowControl/>
        <w:jc w:val="left"/>
        <w:rPr>
          <w:rFonts w:ascii="Times New Roman" w:eastAsia="楷体" w:hAnsi="Times New Roman" w:cs="Times New Roman"/>
          <w:color w:val="333333"/>
          <w:shd w:val="clear" w:color="auto" w:fill="FFFFFF"/>
        </w:rPr>
      </w:pPr>
    </w:p>
    <w:p w14:paraId="2C8C3A6E" w14:textId="1AAA5A04" w:rsidR="000A49DA" w:rsidRPr="00436EF7" w:rsidRDefault="000A49DA">
      <w:pPr>
        <w:widowControl/>
        <w:jc w:val="left"/>
        <w:rPr>
          <w:rFonts w:ascii="Times New Roman" w:eastAsia="楷体" w:hAnsi="Times New Roman" w:cs="Times New Roman" w:hint="eastAsia"/>
          <w:color w:val="333333"/>
          <w:shd w:val="clear" w:color="auto" w:fill="FFFFFF"/>
        </w:rPr>
      </w:pPr>
    </w:p>
    <w:p w14:paraId="144C0CF2" w14:textId="77777777" w:rsidR="000A49DA" w:rsidRDefault="000A49DA">
      <w:pPr>
        <w:widowControl/>
        <w:jc w:val="left"/>
        <w:rPr>
          <w:rFonts w:ascii="Times New Roman" w:eastAsia="楷体" w:hAnsi="Times New Roman" w:cs="Times New Roman"/>
          <w:color w:val="333333"/>
          <w:shd w:val="clear" w:color="auto" w:fill="FFFFFF"/>
        </w:rPr>
      </w:pPr>
    </w:p>
    <w:tbl>
      <w:tblPr>
        <w:tblStyle w:val="ac"/>
        <w:tblW w:w="0" w:type="auto"/>
        <w:tblBorders>
          <w:top w:val="single" w:sz="8" w:space="0" w:color="D50000"/>
          <w:left w:val="none" w:sz="0" w:space="0" w:color="auto"/>
          <w:bottom w:val="single" w:sz="8" w:space="0" w:color="D50000"/>
          <w:right w:val="none" w:sz="0" w:space="0" w:color="auto"/>
          <w:insideH w:val="none" w:sz="0" w:space="0" w:color="auto"/>
          <w:insideV w:val="none" w:sz="0" w:space="0" w:color="auto"/>
        </w:tblBorders>
        <w:shd w:val="clear" w:color="auto" w:fill="D50000"/>
        <w:tblLook w:val="04A0" w:firstRow="1" w:lastRow="0" w:firstColumn="1" w:lastColumn="0" w:noHBand="0" w:noVBand="1"/>
      </w:tblPr>
      <w:tblGrid>
        <w:gridCol w:w="10194"/>
      </w:tblGrid>
      <w:tr w:rsidR="00037E01" w14:paraId="605F1CF2" w14:textId="77777777">
        <w:tc>
          <w:tcPr>
            <w:tcW w:w="10194" w:type="dxa"/>
            <w:shd w:val="clear" w:color="auto" w:fill="D50000"/>
          </w:tcPr>
          <w:p w14:paraId="3BB9C248" w14:textId="77777777" w:rsidR="00037E01" w:rsidRDefault="00204A8E">
            <w:pPr>
              <w:jc w:val="center"/>
              <w:rPr>
                <w:sz w:val="30"/>
                <w:szCs w:val="30"/>
              </w:rPr>
            </w:pPr>
            <w:r>
              <w:rPr>
                <w:rFonts w:ascii="黑体" w:eastAsia="黑体" w:hAnsi="黑体" w:cs="Times New Roman" w:hint="eastAsia"/>
                <w:b/>
                <w:bCs/>
                <w:color w:val="FFFFFF" w:themeColor="background1"/>
                <w:sz w:val="30"/>
                <w:szCs w:val="30"/>
              </w:rPr>
              <w:lastRenderedPageBreak/>
              <w:t>重点行业观察</w:t>
            </w:r>
          </w:p>
        </w:tc>
      </w:tr>
    </w:tbl>
    <w:p w14:paraId="3BE6531F" w14:textId="77777777" w:rsidR="00037E01" w:rsidRDefault="00037E01">
      <w:pPr>
        <w:spacing w:afterLines="50" w:after="120"/>
        <w:jc w:val="left"/>
        <w:rPr>
          <w:rFonts w:ascii="黑体" w:eastAsia="黑体" w:hAnsi="黑体" w:cs="Times New Roman"/>
          <w:b/>
          <w:bCs/>
          <w:color w:val="000000" w:themeColor="text1"/>
          <w:sz w:val="28"/>
          <w:szCs w:val="28"/>
        </w:rPr>
      </w:pPr>
    </w:p>
    <w:p w14:paraId="0E0F929F" w14:textId="1AFC7679" w:rsidR="00037E01" w:rsidRDefault="00436EF7">
      <w:pPr>
        <w:spacing w:afterLines="50" w:after="120"/>
        <w:rPr>
          <w:rFonts w:ascii="黑体" w:eastAsia="黑体" w:hAnsi="黑体" w:cs="Times New Roman"/>
          <w:b/>
          <w:bCs/>
          <w:color w:val="000000" w:themeColor="text1"/>
          <w:sz w:val="28"/>
          <w:szCs w:val="28"/>
        </w:rPr>
      </w:pPr>
      <w:r w:rsidRPr="00436EF7">
        <w:rPr>
          <w:rFonts w:ascii="黑体" w:eastAsia="黑体" w:hAnsi="黑体" w:cs="Times New Roman"/>
          <w:b/>
          <w:bCs/>
          <w:color w:val="000000" w:themeColor="text1"/>
          <w:sz w:val="28"/>
          <w:szCs w:val="28"/>
        </w:rPr>
        <w:t>医药</w:t>
      </w:r>
      <w:r>
        <w:rPr>
          <w:rFonts w:ascii="黑体" w:eastAsia="黑体" w:hAnsi="黑体" w:cs="Times New Roman" w:hint="eastAsia"/>
          <w:b/>
          <w:bCs/>
          <w:color w:val="000000" w:themeColor="text1"/>
          <w:sz w:val="28"/>
          <w:szCs w:val="28"/>
        </w:rPr>
        <w:t>行业</w:t>
      </w:r>
      <w:r w:rsidRPr="00436EF7">
        <w:rPr>
          <w:rFonts w:ascii="黑体" w:eastAsia="黑体" w:hAnsi="黑体" w:cs="Times New Roman"/>
          <w:b/>
          <w:bCs/>
          <w:color w:val="000000" w:themeColor="text1"/>
          <w:sz w:val="28"/>
          <w:szCs w:val="28"/>
        </w:rPr>
        <w:t>：万泰生物：鼻喷新冠疫苗获得南非Ⅲ期临床试验批件</w:t>
      </w:r>
    </w:p>
    <w:p w14:paraId="0678A6BF" w14:textId="77777777" w:rsidR="00037E01" w:rsidRDefault="00037E01">
      <w:pPr>
        <w:spacing w:afterLines="50" w:after="120"/>
        <w:ind w:firstLineChars="200" w:firstLine="420"/>
        <w:rPr>
          <w:rFonts w:ascii="Times New Roman" w:eastAsia="楷体" w:hAnsi="Times New Roman" w:cs="Times New Roman"/>
          <w:color w:val="333333"/>
          <w:shd w:val="clear" w:color="auto" w:fill="FFFFFF"/>
        </w:rPr>
      </w:pPr>
    </w:p>
    <w:p w14:paraId="44ED00B4"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近日，万泰生物与厦门大学、香港大学合作研发的鼻喷新冠疫苗获得了南非药监部门签发的</w:t>
      </w:r>
      <w:r w:rsidRPr="00436EF7">
        <w:rPr>
          <w:rFonts w:ascii="Times New Roman" w:eastAsia="楷体" w:hAnsi="Times New Roman" w:cs="Times New Roman"/>
          <w:color w:val="333333"/>
          <w:shd w:val="clear" w:color="auto" w:fill="FFFFFF"/>
        </w:rPr>
        <w:t>Ⅲ</w:t>
      </w:r>
      <w:r w:rsidRPr="00436EF7">
        <w:rPr>
          <w:rFonts w:ascii="Times New Roman" w:eastAsia="楷体" w:hAnsi="Times New Roman" w:cs="Times New Roman"/>
          <w:color w:val="333333"/>
          <w:shd w:val="clear" w:color="auto" w:fill="FFFFFF"/>
        </w:rPr>
        <w:t>期临床试验批件，批准鼻喷新冠疫苗在</w:t>
      </w:r>
      <w:r w:rsidRPr="00436EF7">
        <w:rPr>
          <w:rFonts w:ascii="Times New Roman" w:eastAsia="楷体" w:hAnsi="Times New Roman" w:cs="Times New Roman"/>
          <w:color w:val="333333"/>
          <w:shd w:val="clear" w:color="auto" w:fill="FFFFFF"/>
        </w:rPr>
        <w:t>18</w:t>
      </w:r>
      <w:r w:rsidRPr="00436EF7">
        <w:rPr>
          <w:rFonts w:ascii="Times New Roman" w:eastAsia="楷体" w:hAnsi="Times New Roman" w:cs="Times New Roman"/>
          <w:color w:val="333333"/>
          <w:shd w:val="clear" w:color="auto" w:fill="FFFFFF"/>
        </w:rPr>
        <w:t>周岁及以上成人受试者中的保护效力、安全性的国际多中心、随机、双盲、安慰剂对照的</w:t>
      </w:r>
      <w:r w:rsidRPr="00436EF7">
        <w:rPr>
          <w:rFonts w:ascii="Times New Roman" w:eastAsia="楷体" w:hAnsi="Times New Roman" w:cs="Times New Roman"/>
          <w:color w:val="333333"/>
          <w:shd w:val="clear" w:color="auto" w:fill="FFFFFF"/>
        </w:rPr>
        <w:t>Ⅲ</w:t>
      </w:r>
      <w:r w:rsidRPr="00436EF7">
        <w:rPr>
          <w:rFonts w:ascii="Times New Roman" w:eastAsia="楷体" w:hAnsi="Times New Roman" w:cs="Times New Roman"/>
          <w:color w:val="333333"/>
          <w:shd w:val="clear" w:color="auto" w:fill="FFFFFF"/>
        </w:rPr>
        <w:t>期临床试验。</w:t>
      </w:r>
    </w:p>
    <w:p w14:paraId="2E25AD0B" w14:textId="4139C03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点评：鼻喷新冠疫苗是在双重减毒的普通季节性流感病毒（</w:t>
      </w:r>
      <w:r w:rsidRPr="00436EF7">
        <w:rPr>
          <w:rFonts w:ascii="Times New Roman" w:eastAsia="楷体" w:hAnsi="Times New Roman" w:cs="Times New Roman"/>
          <w:color w:val="333333"/>
          <w:shd w:val="clear" w:color="auto" w:fill="FFFFFF"/>
        </w:rPr>
        <w:t>CA4-DelNS1</w:t>
      </w:r>
      <w:r w:rsidRPr="00436EF7">
        <w:rPr>
          <w:rFonts w:ascii="Times New Roman" w:eastAsia="楷体" w:hAnsi="Times New Roman" w:cs="Times New Roman"/>
          <w:color w:val="333333"/>
          <w:shd w:val="clear" w:color="auto" w:fill="FFFFFF"/>
        </w:rPr>
        <w:t>）载体内插入新冠病毒保护性抗原的</w:t>
      </w:r>
      <w:r w:rsidRPr="00436EF7">
        <w:rPr>
          <w:rFonts w:ascii="Times New Roman" w:eastAsia="楷体" w:hAnsi="Times New Roman" w:cs="Times New Roman"/>
          <w:color w:val="333333"/>
          <w:shd w:val="clear" w:color="auto" w:fill="FFFFFF"/>
        </w:rPr>
        <w:t>RBD</w:t>
      </w:r>
      <w:r w:rsidRPr="00436EF7">
        <w:rPr>
          <w:rFonts w:ascii="Times New Roman" w:eastAsia="楷体" w:hAnsi="Times New Roman" w:cs="Times New Roman"/>
          <w:color w:val="333333"/>
          <w:shd w:val="clear" w:color="auto" w:fill="FFFFFF"/>
        </w:rPr>
        <w:t>基因序列构建而成的减毒活病毒载体疫苗，经鼻腔喷雾接种，用于新冠肺炎预防。该疫苗不同于以产生体液免疫应答为主的肌肉注射疫苗，是模拟新冠病毒天然感染途径，在呼吸系统特别是肺组织产生很强的</w:t>
      </w:r>
      <w:r w:rsidRPr="00436EF7">
        <w:rPr>
          <w:rFonts w:ascii="Times New Roman" w:eastAsia="楷体" w:hAnsi="Times New Roman" w:cs="Times New Roman"/>
          <w:color w:val="333333"/>
          <w:shd w:val="clear" w:color="auto" w:fill="FFFFFF"/>
        </w:rPr>
        <w:t>T</w:t>
      </w:r>
      <w:r w:rsidRPr="00436EF7">
        <w:rPr>
          <w:rFonts w:ascii="Times New Roman" w:eastAsia="楷体" w:hAnsi="Times New Roman" w:cs="Times New Roman"/>
          <w:color w:val="333333"/>
          <w:shd w:val="clear" w:color="auto" w:fill="FFFFFF"/>
        </w:rPr>
        <w:t>细胞免疫应答，在呼吸道局部尤其是肺部形成预防新冠病毒入侵的第一线免疫屏障。根据</w:t>
      </w:r>
      <w:r w:rsidRPr="00436EF7">
        <w:rPr>
          <w:rFonts w:ascii="Times New Roman" w:eastAsia="楷体" w:hAnsi="Times New Roman" w:cs="Times New Roman"/>
          <w:color w:val="333333"/>
          <w:shd w:val="clear" w:color="auto" w:fill="FFFFFF"/>
        </w:rPr>
        <w:t>WHO</w:t>
      </w:r>
      <w:r w:rsidRPr="00436EF7">
        <w:rPr>
          <w:rFonts w:ascii="Times New Roman" w:eastAsia="楷体" w:hAnsi="Times New Roman" w:cs="Times New Roman"/>
          <w:color w:val="333333"/>
          <w:shd w:val="clear" w:color="auto" w:fill="FFFFFF"/>
        </w:rPr>
        <w:t>的统计及公开报道资料，全球至少已有</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个呼吸道免疫新冠疫苗进入临床试验阶段，绝大部分处于</w:t>
      </w:r>
      <w:r w:rsidRPr="00436EF7">
        <w:rPr>
          <w:rFonts w:ascii="Times New Roman" w:eastAsia="楷体" w:hAnsi="Times New Roman" w:cs="Times New Roman"/>
          <w:color w:val="333333"/>
          <w:shd w:val="clear" w:color="auto" w:fill="FFFFFF"/>
        </w:rPr>
        <w:t>I/II</w:t>
      </w:r>
      <w:r w:rsidRPr="00436EF7">
        <w:rPr>
          <w:rFonts w:ascii="Times New Roman" w:eastAsia="楷体" w:hAnsi="Times New Roman" w:cs="Times New Roman"/>
          <w:color w:val="333333"/>
          <w:shd w:val="clear" w:color="auto" w:fill="FFFFFF"/>
        </w:rPr>
        <w:t>期临床试验阶段，中国在该领域总体处于领先位置。</w:t>
      </w:r>
    </w:p>
    <w:p w14:paraId="766C5B88"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鼻喷新冠疫苗</w:t>
      </w:r>
      <w:r w:rsidRPr="00436EF7">
        <w:rPr>
          <w:rFonts w:ascii="Times New Roman" w:eastAsia="楷体" w:hAnsi="Times New Roman" w:cs="Times New Roman"/>
          <w:color w:val="333333"/>
          <w:shd w:val="clear" w:color="auto" w:fill="FFFFFF"/>
        </w:rPr>
        <w:t>2020</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8</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27</w:t>
      </w:r>
      <w:r w:rsidRPr="00436EF7">
        <w:rPr>
          <w:rFonts w:ascii="Times New Roman" w:eastAsia="楷体" w:hAnsi="Times New Roman" w:cs="Times New Roman"/>
          <w:color w:val="333333"/>
          <w:shd w:val="clear" w:color="auto" w:fill="FFFFFF"/>
        </w:rPr>
        <w:t>日获得国家药品监督管理局颁发的临床试验批件，已经在国内开展</w:t>
      </w:r>
      <w:r w:rsidRPr="00436EF7">
        <w:rPr>
          <w:rFonts w:ascii="Times New Roman" w:eastAsia="楷体" w:hAnsi="Times New Roman" w:cs="Times New Roman"/>
          <w:color w:val="333333"/>
          <w:shd w:val="clear" w:color="auto" w:fill="FFFFFF"/>
        </w:rPr>
        <w:t>I</w:t>
      </w:r>
      <w:r w:rsidRPr="00436EF7">
        <w:rPr>
          <w:rFonts w:ascii="Times New Roman" w:eastAsia="楷体" w:hAnsi="Times New Roman" w:cs="Times New Roman"/>
          <w:color w:val="333333"/>
          <w:shd w:val="clear" w:color="auto" w:fill="FFFFFF"/>
        </w:rPr>
        <w:t>期、</w:t>
      </w:r>
      <w:r w:rsidRPr="00436EF7">
        <w:rPr>
          <w:rFonts w:ascii="Times New Roman" w:eastAsia="楷体" w:hAnsi="Times New Roman" w:cs="Times New Roman"/>
          <w:color w:val="333333"/>
          <w:shd w:val="clear" w:color="auto" w:fill="FFFFFF"/>
        </w:rPr>
        <w:t>II</w:t>
      </w:r>
      <w:r w:rsidRPr="00436EF7">
        <w:rPr>
          <w:rFonts w:ascii="Times New Roman" w:eastAsia="楷体" w:hAnsi="Times New Roman" w:cs="Times New Roman"/>
          <w:color w:val="333333"/>
          <w:shd w:val="clear" w:color="auto" w:fill="FFFFFF"/>
        </w:rPr>
        <w:t>期和拓展临床试验，</w:t>
      </w:r>
      <w:r w:rsidRPr="00436EF7">
        <w:rPr>
          <w:rFonts w:ascii="Times New Roman" w:eastAsia="楷体" w:hAnsi="Times New Roman" w:cs="Times New Roman"/>
          <w:color w:val="333333"/>
          <w:shd w:val="clear" w:color="auto" w:fill="FFFFFF"/>
        </w:rPr>
        <w:t>I</w:t>
      </w:r>
      <w:r w:rsidRPr="00436EF7">
        <w:rPr>
          <w:rFonts w:ascii="Times New Roman" w:eastAsia="楷体" w:hAnsi="Times New Roman" w:cs="Times New Roman"/>
          <w:color w:val="333333"/>
          <w:shd w:val="clear" w:color="auto" w:fill="FFFFFF"/>
        </w:rPr>
        <w:t>期临床试验已完成计划内所有访视，</w:t>
      </w:r>
      <w:r w:rsidRPr="00436EF7">
        <w:rPr>
          <w:rFonts w:ascii="Times New Roman" w:eastAsia="楷体" w:hAnsi="Times New Roman" w:cs="Times New Roman"/>
          <w:color w:val="333333"/>
          <w:shd w:val="clear" w:color="auto" w:fill="FFFFFF"/>
        </w:rPr>
        <w:t>I</w:t>
      </w:r>
      <w:r w:rsidRPr="00436EF7">
        <w:rPr>
          <w:rFonts w:ascii="Times New Roman" w:eastAsia="楷体" w:hAnsi="Times New Roman" w:cs="Times New Roman"/>
          <w:color w:val="333333"/>
          <w:shd w:val="clear" w:color="auto" w:fill="FFFFFF"/>
        </w:rPr>
        <w:t>期和</w:t>
      </w:r>
      <w:r w:rsidRPr="00436EF7">
        <w:rPr>
          <w:rFonts w:ascii="Times New Roman" w:eastAsia="楷体" w:hAnsi="Times New Roman" w:cs="Times New Roman"/>
          <w:color w:val="333333"/>
          <w:shd w:val="clear" w:color="auto" w:fill="FFFFFF"/>
        </w:rPr>
        <w:t>II</w:t>
      </w:r>
      <w:r w:rsidRPr="00436EF7">
        <w:rPr>
          <w:rFonts w:ascii="Times New Roman" w:eastAsia="楷体" w:hAnsi="Times New Roman" w:cs="Times New Roman"/>
          <w:color w:val="333333"/>
          <w:shd w:val="clear" w:color="auto" w:fill="FFFFFF"/>
        </w:rPr>
        <w:t>期均已完成期中分析，研究结果表明该疫苗具有良好的安全性和免疫原性。前期试验数据显示该疫苗经鼻喷接种后引发的免疫应答，对新冠病毒原型株和突变株都具有很好的耐受性。</w:t>
      </w:r>
      <w:r w:rsidRPr="00436EF7">
        <w:rPr>
          <w:rFonts w:ascii="Times New Roman" w:eastAsia="楷体" w:hAnsi="Times New Roman" w:cs="Times New Roman"/>
          <w:color w:val="333333"/>
          <w:shd w:val="clear" w:color="auto" w:fill="FFFFFF"/>
        </w:rPr>
        <w:t>I</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II</w:t>
      </w:r>
      <w:r w:rsidRPr="00436EF7">
        <w:rPr>
          <w:rFonts w:ascii="Times New Roman" w:eastAsia="楷体" w:hAnsi="Times New Roman" w:cs="Times New Roman"/>
          <w:color w:val="333333"/>
          <w:shd w:val="clear" w:color="auto" w:fill="FFFFFF"/>
        </w:rPr>
        <w:t>期临床试验的安全性评价结果显示，鼻喷新冠疫苗安全性好，副反应少且程度低。</w:t>
      </w:r>
    </w:p>
    <w:p w14:paraId="360056C2"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为加快推进鼻喷新冠疫苗的临床</w:t>
      </w:r>
      <w:r w:rsidRPr="00436EF7">
        <w:rPr>
          <w:rFonts w:ascii="Times New Roman" w:eastAsia="楷体" w:hAnsi="Times New Roman" w:cs="Times New Roman"/>
          <w:color w:val="333333"/>
          <w:shd w:val="clear" w:color="auto" w:fill="FFFFFF"/>
        </w:rPr>
        <w:t>III</w:t>
      </w:r>
      <w:r w:rsidRPr="00436EF7">
        <w:rPr>
          <w:rFonts w:ascii="Times New Roman" w:eastAsia="楷体" w:hAnsi="Times New Roman" w:cs="Times New Roman"/>
          <w:color w:val="333333"/>
          <w:shd w:val="clear" w:color="auto" w:fill="FFFFFF"/>
        </w:rPr>
        <w:t>期试验工作，万泰生物拟在南非、印度尼西亚、菲律宾等</w:t>
      </w:r>
      <w:r w:rsidRPr="00436EF7">
        <w:rPr>
          <w:rFonts w:ascii="Times New Roman" w:eastAsia="楷体" w:hAnsi="Times New Roman" w:cs="Times New Roman"/>
          <w:color w:val="333333"/>
          <w:shd w:val="clear" w:color="auto" w:fill="FFFFFF"/>
        </w:rPr>
        <w:t>11</w:t>
      </w:r>
      <w:r w:rsidRPr="00436EF7">
        <w:rPr>
          <w:rFonts w:ascii="Times New Roman" w:eastAsia="楷体" w:hAnsi="Times New Roman" w:cs="Times New Roman"/>
          <w:color w:val="333333"/>
          <w:shd w:val="clear" w:color="auto" w:fill="FFFFFF"/>
        </w:rPr>
        <w:t>个国家进行临床试验，已与泰格医药签署了</w:t>
      </w:r>
      <w:r w:rsidRPr="00436EF7">
        <w:rPr>
          <w:rFonts w:ascii="Times New Roman" w:eastAsia="楷体" w:hAnsi="Times New Roman" w:cs="Times New Roman"/>
          <w:color w:val="333333"/>
          <w:shd w:val="clear" w:color="auto" w:fill="FFFFFF"/>
        </w:rPr>
        <w:t>CRO</w:t>
      </w:r>
      <w:r w:rsidRPr="00436EF7">
        <w:rPr>
          <w:rFonts w:ascii="Times New Roman" w:eastAsia="楷体" w:hAnsi="Times New Roman" w:cs="Times New Roman"/>
          <w:color w:val="333333"/>
          <w:shd w:val="clear" w:color="auto" w:fill="FFFFFF"/>
        </w:rPr>
        <w:t>服务协议，将由其协助作为申办方在上述国家申请并负责具体实施鼻喷新冠疫苗的临床</w:t>
      </w:r>
      <w:r w:rsidRPr="00436EF7">
        <w:rPr>
          <w:rFonts w:ascii="Times New Roman" w:eastAsia="楷体" w:hAnsi="Times New Roman" w:cs="Times New Roman"/>
          <w:color w:val="333333"/>
          <w:shd w:val="clear" w:color="auto" w:fill="FFFFFF"/>
        </w:rPr>
        <w:t>III</w:t>
      </w:r>
      <w:r w:rsidRPr="00436EF7">
        <w:rPr>
          <w:rFonts w:ascii="Times New Roman" w:eastAsia="楷体" w:hAnsi="Times New Roman" w:cs="Times New Roman"/>
          <w:color w:val="333333"/>
          <w:shd w:val="clear" w:color="auto" w:fill="FFFFFF"/>
        </w:rPr>
        <w:t>期试验工作。</w:t>
      </w:r>
    </w:p>
    <w:p w14:paraId="460D2F1C" w14:textId="77777777" w:rsidR="00436EF7" w:rsidRPr="00436EF7" w:rsidRDefault="00436EF7" w:rsidP="00436EF7">
      <w:pPr>
        <w:spacing w:afterLines="50" w:after="120"/>
        <w:rPr>
          <w:rFonts w:ascii="Times New Roman" w:eastAsia="楷体" w:hAnsi="Times New Roman" w:cs="Times New Roman"/>
          <w:color w:val="333333"/>
          <w:shd w:val="clear" w:color="auto" w:fill="FFFFFF"/>
        </w:rPr>
      </w:pPr>
    </w:p>
    <w:p w14:paraId="5094F346" w14:textId="1F9175FC" w:rsidR="00037E01" w:rsidRDefault="00436EF7" w:rsidP="00436EF7">
      <w:pPr>
        <w:spacing w:afterLines="50" w:after="1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（研究员：李志新，执业证书编号：</w:t>
      </w:r>
      <w:r w:rsidRPr="00436EF7">
        <w:rPr>
          <w:rFonts w:ascii="Times New Roman" w:eastAsia="楷体" w:hAnsi="Times New Roman" w:cs="Times New Roman"/>
          <w:color w:val="333333"/>
          <w:shd w:val="clear" w:color="auto" w:fill="FFFFFF"/>
        </w:rPr>
        <w:t>S0110520090001</w:t>
      </w:r>
      <w:r>
        <w:rPr>
          <w:rFonts w:ascii="Times New Roman" w:eastAsia="楷体" w:hAnsi="Times New Roman" w:cs="Times New Roman" w:hint="eastAsia"/>
          <w:color w:val="333333"/>
          <w:shd w:val="clear" w:color="auto" w:fill="FFFFFF"/>
        </w:rPr>
        <w:t>，研究助理：</w:t>
      </w:r>
      <w:r w:rsidRPr="00436EF7">
        <w:rPr>
          <w:rFonts w:ascii="Times New Roman" w:eastAsia="楷体" w:hAnsi="Times New Roman" w:cs="Times New Roman"/>
          <w:color w:val="333333"/>
          <w:shd w:val="clear" w:color="auto" w:fill="FFFFFF"/>
        </w:rPr>
        <w:t>周贤珮）</w:t>
      </w:r>
    </w:p>
    <w:p w14:paraId="313E183A" w14:textId="77777777" w:rsidR="000A49DA" w:rsidRDefault="000A49DA" w:rsidP="000A49DA">
      <w:pPr>
        <w:spacing w:afterLines="50" w:after="120"/>
        <w:rPr>
          <w:rFonts w:ascii="Times New Roman" w:eastAsia="楷体" w:hAnsi="Times New Roman" w:cs="Times New Roman"/>
          <w:color w:val="333333"/>
          <w:shd w:val="clear" w:color="auto" w:fill="FFFFFF"/>
        </w:rPr>
      </w:pPr>
    </w:p>
    <w:p w14:paraId="7D459B1E" w14:textId="3E3242E2" w:rsidR="00037E01" w:rsidRDefault="00436EF7" w:rsidP="000A49DA">
      <w:pPr>
        <w:spacing w:afterLines="50" w:after="120"/>
        <w:rPr>
          <w:rFonts w:ascii="黑体" w:eastAsia="黑体" w:hAnsi="黑体" w:cs="Times New Roman"/>
          <w:b/>
          <w:bCs/>
          <w:color w:val="000000" w:themeColor="text1"/>
          <w:sz w:val="28"/>
          <w:szCs w:val="28"/>
        </w:rPr>
      </w:pPr>
      <w:r>
        <w:rPr>
          <w:rFonts w:ascii="黑体" w:eastAsia="黑体" w:hAnsi="黑体" w:cs="Times New Roman" w:hint="eastAsia"/>
          <w:b/>
          <w:bCs/>
          <w:color w:val="000000" w:themeColor="text1"/>
          <w:sz w:val="28"/>
          <w:szCs w:val="28"/>
        </w:rPr>
        <w:t>传媒</w:t>
      </w:r>
      <w:r w:rsidR="000A49DA" w:rsidRPr="000A49DA">
        <w:rPr>
          <w:rFonts w:ascii="黑体" w:eastAsia="黑体" w:hAnsi="黑体" w:cs="Times New Roman"/>
          <w:b/>
          <w:bCs/>
          <w:color w:val="000000" w:themeColor="text1"/>
          <w:sz w:val="28"/>
          <w:szCs w:val="28"/>
        </w:rPr>
        <w:t>行业：</w:t>
      </w:r>
      <w:r w:rsidRPr="00436EF7">
        <w:rPr>
          <w:rFonts w:ascii="黑体" w:eastAsia="黑体" w:hAnsi="黑体" w:cs="Times New Roman"/>
          <w:b/>
          <w:bCs/>
          <w:color w:val="000000" w:themeColor="text1"/>
          <w:sz w:val="28"/>
          <w:szCs w:val="28"/>
        </w:rPr>
        <w:t>上海市拟对密室剧本杀内容备案，有利行业健康有序发展</w:t>
      </w:r>
    </w:p>
    <w:p w14:paraId="725CD42B" w14:textId="77777777" w:rsidR="00037E01" w:rsidRDefault="00037E01">
      <w:pPr>
        <w:spacing w:afterLines="50" w:after="120"/>
        <w:rPr>
          <w:rFonts w:ascii="Times New Roman" w:eastAsia="楷体" w:hAnsi="Times New Roman" w:cs="Times New Roman"/>
          <w:color w:val="333333"/>
          <w:shd w:val="clear" w:color="auto" w:fill="FFFFFF"/>
        </w:rPr>
      </w:pPr>
    </w:p>
    <w:p w14:paraId="27819DD8" w14:textId="77777777" w:rsidR="00436EF7" w:rsidRPr="00436EF7" w:rsidRDefault="00436EF7" w:rsidP="00436EF7">
      <w:pPr>
        <w:spacing w:afterLines="50" w:after="120"/>
        <w:ind w:firstLineChars="200" w:firstLine="4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11</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9</w:t>
      </w:r>
      <w:r w:rsidRPr="00436EF7">
        <w:rPr>
          <w:rFonts w:ascii="Times New Roman" w:eastAsia="楷体" w:hAnsi="Times New Roman" w:cs="Times New Roman"/>
          <w:color w:val="333333"/>
          <w:shd w:val="clear" w:color="auto" w:fill="FFFFFF"/>
        </w:rPr>
        <w:t>日，上海市文化和旅游局发布《上海市密室剧本杀内容备案管理规定（征求意见稿）》（以下简称</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管理规定</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）并面向全社会公开征求意见。如若顺利通过，这也将是国内首个针对剧本杀的地方性内容监管条例，对全国范围内的剧本杀内容监管也将具有重要意义。</w:t>
      </w:r>
    </w:p>
    <w:p w14:paraId="32913672" w14:textId="77777777" w:rsidR="00436EF7" w:rsidRPr="00436EF7" w:rsidRDefault="00436EF7" w:rsidP="00436EF7">
      <w:pPr>
        <w:spacing w:afterLines="50" w:after="120"/>
        <w:ind w:firstLineChars="200" w:firstLine="4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剧本杀融合内容创意和实景娱乐产业，商业模式兼具综合性和灵活性，有利于文旅产业的发展，多次受到地方政府和主流媒体的正面评价。但随着产业的普及扩大，行业乱象开始涌现。</w:t>
      </w:r>
      <w:r w:rsidRPr="00436EF7">
        <w:rPr>
          <w:rFonts w:ascii="Times New Roman" w:eastAsia="楷体" w:hAnsi="Times New Roman" w:cs="Times New Roman"/>
          <w:color w:val="333333"/>
          <w:shd w:val="clear" w:color="auto" w:fill="FFFFFF"/>
        </w:rPr>
        <w:t>9</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21</w:t>
      </w:r>
      <w:r w:rsidRPr="00436EF7">
        <w:rPr>
          <w:rFonts w:ascii="Times New Roman" w:eastAsia="楷体" w:hAnsi="Times New Roman" w:cs="Times New Roman"/>
          <w:color w:val="333333"/>
          <w:shd w:val="clear" w:color="auto" w:fill="FFFFFF"/>
        </w:rPr>
        <w:t>日，新华社罕见点名了剧本杀，该报道直指宣扬暴力、灵异的某些变味剧本杀店铺，批评这些店铺以此为商业噱头吸引年轻人、引发公众担忧。</w:t>
      </w:r>
    </w:p>
    <w:p w14:paraId="07E27821" w14:textId="77777777" w:rsidR="00436EF7" w:rsidRPr="00436EF7" w:rsidRDefault="00436EF7" w:rsidP="00436EF7">
      <w:pPr>
        <w:spacing w:afterLines="50" w:after="120"/>
        <w:ind w:firstLineChars="200" w:firstLine="4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此次上海出台的管理规定中，密室剧本杀行业被定义为</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根据一定的故事剧情，提供剧本、机关密室、实景场地中的一种或多种，以逻辑推理为主，供消费者之间互动或消费者与场所演职人员互动的文化业态</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w:t>
      </w:r>
    </w:p>
    <w:p w14:paraId="16272CC2" w14:textId="77777777" w:rsidR="00436EF7" w:rsidRPr="00436EF7" w:rsidRDefault="00436EF7" w:rsidP="00436EF7">
      <w:pPr>
        <w:spacing w:afterLines="50" w:after="120"/>
        <w:ind w:firstLineChars="200" w:firstLine="4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建立在剧本备案基础上的内容审核和版权保护是此次管理规定的关键。</w:t>
      </w:r>
    </w:p>
    <w:p w14:paraId="77ECCCBD" w14:textId="77777777" w:rsidR="00436EF7" w:rsidRPr="00436EF7" w:rsidRDefault="00436EF7" w:rsidP="00436EF7">
      <w:pPr>
        <w:spacing w:afterLines="50" w:after="120"/>
        <w:ind w:firstLineChars="200" w:firstLine="4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内容审核上，上海市文化旅游局负责全市密室剧本杀行业的内容监督管理工作，建立剧本审查专家小组，发布违规剧本清单。同时，新规也要求密室剧本杀行业经营单位应对经营中使用的剧本展开自审，建立健全内容自审制度，配备满足自审需要的审核人员，建立适应内容管理需要的技术监管措施。</w:t>
      </w:r>
    </w:p>
    <w:p w14:paraId="52776CB0" w14:textId="77777777" w:rsidR="00436EF7" w:rsidRPr="00436EF7" w:rsidRDefault="00436EF7" w:rsidP="00436EF7">
      <w:pPr>
        <w:spacing w:afterLines="50" w:after="120"/>
        <w:ind w:firstLineChars="200" w:firstLine="4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版权保护上，密室剧本杀行业经营单位应将自审通过的剧本提交市文化旅游局或所在区文化旅游局备案登记。申请备案时，应提交以下材料：（一）剧本备案登记表；（二）营业执照；（三）剧本；（四）版权合法性</w:t>
      </w:r>
      <w:r w:rsidRPr="00436EF7">
        <w:rPr>
          <w:rFonts w:ascii="Times New Roman" w:eastAsia="楷体" w:hAnsi="Times New Roman" w:cs="Times New Roman"/>
          <w:color w:val="333333"/>
          <w:shd w:val="clear" w:color="auto" w:fill="FFFFFF"/>
        </w:rPr>
        <w:lastRenderedPageBreak/>
        <w:t>声明。对于符合标准的剧本，审查部门在五个工作日内核发剧本备案证明。新规也要求行业协会加强版权保护，建立版权纠纷调解机制，通过调解和对话的方式处理版权纠纷，帮助企业维护其合法权益。</w:t>
      </w:r>
    </w:p>
    <w:p w14:paraId="38FCD33F" w14:textId="4C62824E" w:rsidR="000A49DA" w:rsidRDefault="00436EF7" w:rsidP="00436EF7">
      <w:pPr>
        <w:spacing w:afterLines="50" w:after="120"/>
        <w:ind w:firstLineChars="200" w:firstLine="4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有序规范是行业长远发展的基础。我们看到，地方政府对剧本杀产业的重视推动了市场主体职责的明确，同时内容审核标准的明确和版权保护的提出更能优化产业发展环境，形成健康的产业生态。</w:t>
      </w:r>
    </w:p>
    <w:p w14:paraId="7A2DCBD0" w14:textId="77777777" w:rsidR="00436EF7" w:rsidRPr="00436EF7" w:rsidRDefault="00436EF7" w:rsidP="00436EF7">
      <w:pPr>
        <w:spacing w:afterLines="50" w:after="120"/>
        <w:ind w:firstLineChars="200" w:firstLine="420"/>
        <w:jc w:val="left"/>
        <w:rPr>
          <w:rFonts w:ascii="Times New Roman" w:eastAsia="楷体" w:hAnsi="Times New Roman" w:cs="Times New Roman" w:hint="eastAsia"/>
          <w:color w:val="333333"/>
          <w:shd w:val="clear" w:color="auto" w:fill="FFFFFF"/>
        </w:rPr>
      </w:pPr>
    </w:p>
    <w:p w14:paraId="6E380B75" w14:textId="6872268A" w:rsidR="00037E01" w:rsidRDefault="00436EF7" w:rsidP="000A49DA">
      <w:pPr>
        <w:spacing w:afterLines="50" w:after="120"/>
        <w:jc w:val="left"/>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（分析师：李甜露，执业证书编号：</w:t>
      </w:r>
      <w:r w:rsidRPr="00436EF7">
        <w:rPr>
          <w:rFonts w:ascii="Times New Roman" w:eastAsia="楷体" w:hAnsi="Times New Roman" w:cs="Times New Roman"/>
          <w:color w:val="333333"/>
          <w:shd w:val="clear" w:color="auto" w:fill="FFFFFF"/>
        </w:rPr>
        <w:t>S0110516090001</w:t>
      </w:r>
      <w:r w:rsidRPr="00436EF7">
        <w:rPr>
          <w:rFonts w:ascii="Times New Roman" w:eastAsia="楷体" w:hAnsi="Times New Roman" w:cs="Times New Roman"/>
          <w:color w:val="333333"/>
          <w:shd w:val="clear" w:color="auto" w:fill="FFFFFF"/>
        </w:rPr>
        <w:t>）</w:t>
      </w:r>
    </w:p>
    <w:p w14:paraId="7E3D737D" w14:textId="77777777" w:rsidR="00436EF7" w:rsidRDefault="00436EF7" w:rsidP="000A49DA">
      <w:pPr>
        <w:spacing w:afterLines="50" w:after="120"/>
        <w:jc w:val="left"/>
        <w:rPr>
          <w:rFonts w:ascii="Times New Roman" w:eastAsia="楷体" w:hAnsi="Times New Roman" w:cs="Times New Roman" w:hint="eastAsia"/>
          <w:color w:val="333333"/>
          <w:shd w:val="clear" w:color="auto" w:fill="FFFFFF"/>
        </w:rPr>
      </w:pPr>
    </w:p>
    <w:p w14:paraId="1C723DCC" w14:textId="0AD4EDD3" w:rsidR="00037E01" w:rsidRDefault="00436EF7" w:rsidP="003E3742">
      <w:pPr>
        <w:spacing w:afterLines="50" w:after="120"/>
        <w:rPr>
          <w:rFonts w:ascii="黑体" w:eastAsia="黑体" w:hAnsi="黑体" w:cs="Times New Roman" w:hint="eastAsia"/>
          <w:b/>
          <w:bCs/>
          <w:color w:val="000000" w:themeColor="text1"/>
          <w:sz w:val="28"/>
          <w:szCs w:val="28"/>
        </w:rPr>
      </w:pPr>
      <w:r w:rsidRPr="00436EF7">
        <w:rPr>
          <w:rFonts w:ascii="黑体" w:eastAsia="黑体" w:hAnsi="黑体" w:cs="Times New Roman"/>
          <w:b/>
          <w:bCs/>
          <w:color w:val="000000" w:themeColor="text1"/>
          <w:sz w:val="28"/>
          <w:szCs w:val="28"/>
        </w:rPr>
        <w:t>机械行业：晶盛机电再获新订单，2021年在手订单超200亿</w:t>
      </w:r>
    </w:p>
    <w:p w14:paraId="69D4169F" w14:textId="77777777" w:rsidR="003E3742" w:rsidRDefault="003E3742">
      <w:pPr>
        <w:spacing w:afterLines="50" w:after="120"/>
        <w:ind w:firstLineChars="200" w:firstLine="420"/>
        <w:rPr>
          <w:rFonts w:ascii="Times New Roman" w:eastAsia="楷体" w:hAnsi="Times New Roman" w:cs="Times New Roman"/>
          <w:color w:val="333333"/>
          <w:shd w:val="clear" w:color="auto" w:fill="FFFFFF"/>
        </w:rPr>
      </w:pPr>
    </w:p>
    <w:p w14:paraId="5BC4B688"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事件：晶盛机电</w:t>
      </w:r>
      <w:r w:rsidRPr="00436EF7">
        <w:rPr>
          <w:rFonts w:ascii="Times New Roman" w:eastAsia="楷体" w:hAnsi="Times New Roman" w:cs="Times New Roman"/>
          <w:color w:val="333333"/>
          <w:shd w:val="clear" w:color="auto" w:fill="FFFFFF"/>
        </w:rPr>
        <w:t>11</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8</w:t>
      </w:r>
      <w:r w:rsidRPr="00436EF7">
        <w:rPr>
          <w:rFonts w:ascii="Times New Roman" w:eastAsia="楷体" w:hAnsi="Times New Roman" w:cs="Times New Roman"/>
          <w:color w:val="333333"/>
          <w:shd w:val="clear" w:color="auto" w:fill="FFFFFF"/>
        </w:rPr>
        <w:t>日发布公告，</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5</w:t>
      </w:r>
      <w:r w:rsidRPr="00436EF7">
        <w:rPr>
          <w:rFonts w:ascii="Times New Roman" w:eastAsia="楷体" w:hAnsi="Times New Roman" w:cs="Times New Roman"/>
          <w:color w:val="333333"/>
          <w:shd w:val="clear" w:color="auto" w:fill="FFFFFF"/>
        </w:rPr>
        <w:t>月与双良硅材料（双良节能全资孙公司）签订《单晶炉买卖合同》，总金额</w:t>
      </w:r>
      <w:r w:rsidRPr="00436EF7">
        <w:rPr>
          <w:rFonts w:ascii="Times New Roman" w:eastAsia="楷体" w:hAnsi="Times New Roman" w:cs="Times New Roman"/>
          <w:color w:val="333333"/>
          <w:shd w:val="clear" w:color="auto" w:fill="FFFFFF"/>
        </w:rPr>
        <w:t>14.05</w:t>
      </w:r>
      <w:r w:rsidRPr="00436EF7">
        <w:rPr>
          <w:rFonts w:ascii="Times New Roman" w:eastAsia="楷体" w:hAnsi="Times New Roman" w:cs="Times New Roman"/>
          <w:color w:val="333333"/>
          <w:shd w:val="clear" w:color="auto" w:fill="FFFFFF"/>
        </w:rPr>
        <w:t>亿元，其中一期总金额</w:t>
      </w:r>
      <w:r w:rsidRPr="00436EF7">
        <w:rPr>
          <w:rFonts w:ascii="Times New Roman" w:eastAsia="楷体" w:hAnsi="Times New Roman" w:cs="Times New Roman"/>
          <w:color w:val="333333"/>
          <w:shd w:val="clear" w:color="auto" w:fill="FFFFFF"/>
        </w:rPr>
        <w:t>6.28</w:t>
      </w:r>
      <w:r w:rsidRPr="00436EF7">
        <w:rPr>
          <w:rFonts w:ascii="Times New Roman" w:eastAsia="楷体" w:hAnsi="Times New Roman" w:cs="Times New Roman"/>
          <w:color w:val="333333"/>
          <w:shd w:val="clear" w:color="auto" w:fill="FFFFFF"/>
        </w:rPr>
        <w:t>亿元；</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11</w:t>
      </w:r>
      <w:r w:rsidRPr="00436EF7">
        <w:rPr>
          <w:rFonts w:ascii="Times New Roman" w:eastAsia="楷体" w:hAnsi="Times New Roman" w:cs="Times New Roman"/>
          <w:color w:val="333333"/>
          <w:shd w:val="clear" w:color="auto" w:fill="FFFFFF"/>
        </w:rPr>
        <w:t>月，公司与双良硅材料再次签订《单晶炉买卖合同》，合同总金额</w:t>
      </w:r>
      <w:r w:rsidRPr="00436EF7">
        <w:rPr>
          <w:rFonts w:ascii="Times New Roman" w:eastAsia="楷体" w:hAnsi="Times New Roman" w:cs="Times New Roman"/>
          <w:color w:val="333333"/>
          <w:shd w:val="clear" w:color="auto" w:fill="FFFFFF"/>
        </w:rPr>
        <w:t>16.15</w:t>
      </w:r>
      <w:r w:rsidRPr="00436EF7">
        <w:rPr>
          <w:rFonts w:ascii="Times New Roman" w:eastAsia="楷体" w:hAnsi="Times New Roman" w:cs="Times New Roman"/>
          <w:color w:val="333333"/>
          <w:shd w:val="clear" w:color="auto" w:fill="FFFFFF"/>
        </w:rPr>
        <w:t>亿元（包含前述合同的二期部分），合计</w:t>
      </w:r>
      <w:r w:rsidRPr="00436EF7">
        <w:rPr>
          <w:rFonts w:ascii="Times New Roman" w:eastAsia="楷体" w:hAnsi="Times New Roman" w:cs="Times New Roman"/>
          <w:color w:val="333333"/>
          <w:shd w:val="clear" w:color="auto" w:fill="FFFFFF"/>
        </w:rPr>
        <w:t>22.4</w:t>
      </w:r>
      <w:r w:rsidRPr="00436EF7">
        <w:rPr>
          <w:rFonts w:ascii="Times New Roman" w:eastAsia="楷体" w:hAnsi="Times New Roman" w:cs="Times New Roman"/>
          <w:color w:val="333333"/>
          <w:shd w:val="clear" w:color="auto" w:fill="FFFFFF"/>
        </w:rPr>
        <w:t>亿元（含税）。</w:t>
      </w:r>
    </w:p>
    <w:p w14:paraId="775110D5" w14:textId="75990800"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点评：在手订单超</w:t>
      </w:r>
      <w:r w:rsidRPr="00436EF7">
        <w:rPr>
          <w:rFonts w:ascii="Times New Roman" w:eastAsia="楷体" w:hAnsi="Times New Roman" w:cs="Times New Roman"/>
          <w:color w:val="333333"/>
          <w:shd w:val="clear" w:color="auto" w:fill="FFFFFF"/>
        </w:rPr>
        <w:t>200</w:t>
      </w:r>
      <w:r w:rsidRPr="00436EF7">
        <w:rPr>
          <w:rFonts w:ascii="Times New Roman" w:eastAsia="楷体" w:hAnsi="Times New Roman" w:cs="Times New Roman"/>
          <w:color w:val="333333"/>
          <w:shd w:val="clear" w:color="auto" w:fill="FFFFFF"/>
        </w:rPr>
        <w:t>亿，支撑全年业绩高增长：根据公司</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年三季报，截至</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9</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30</w:t>
      </w:r>
      <w:r w:rsidRPr="00436EF7">
        <w:rPr>
          <w:rFonts w:ascii="Times New Roman" w:eastAsia="楷体" w:hAnsi="Times New Roman" w:cs="Times New Roman"/>
          <w:color w:val="333333"/>
          <w:shd w:val="clear" w:color="auto" w:fill="FFFFFF"/>
        </w:rPr>
        <w:t>日，公司未完成晶体生长设备及智能化加工设备合同总计</w:t>
      </w:r>
      <w:r w:rsidRPr="00436EF7">
        <w:rPr>
          <w:rFonts w:ascii="Times New Roman" w:eastAsia="楷体" w:hAnsi="Times New Roman" w:cs="Times New Roman"/>
          <w:color w:val="333333"/>
          <w:shd w:val="clear" w:color="auto" w:fill="FFFFFF"/>
        </w:rPr>
        <w:t>177.60</w:t>
      </w:r>
      <w:r w:rsidRPr="00436EF7">
        <w:rPr>
          <w:rFonts w:ascii="Times New Roman" w:eastAsia="楷体" w:hAnsi="Times New Roman" w:cs="Times New Roman"/>
          <w:color w:val="333333"/>
          <w:shd w:val="clear" w:color="auto" w:fill="FFFFFF"/>
        </w:rPr>
        <w:t>亿元（含税）。</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26</w:t>
      </w:r>
      <w:r w:rsidRPr="00436EF7">
        <w:rPr>
          <w:rFonts w:ascii="Times New Roman" w:eastAsia="楷体" w:hAnsi="Times New Roman" w:cs="Times New Roman"/>
          <w:color w:val="333333"/>
          <w:shd w:val="clear" w:color="auto" w:fill="FFFFFF"/>
        </w:rPr>
        <w:t>日公司发布公告，与高景太阳能再次签订金额为</w:t>
      </w:r>
      <w:r w:rsidRPr="00436EF7">
        <w:rPr>
          <w:rFonts w:ascii="Times New Roman" w:eastAsia="楷体" w:hAnsi="Times New Roman" w:cs="Times New Roman"/>
          <w:color w:val="333333"/>
          <w:shd w:val="clear" w:color="auto" w:fill="FFFFFF"/>
        </w:rPr>
        <w:t>14.85</w:t>
      </w:r>
      <w:r w:rsidRPr="00436EF7">
        <w:rPr>
          <w:rFonts w:ascii="Times New Roman" w:eastAsia="楷体" w:hAnsi="Times New Roman" w:cs="Times New Roman"/>
          <w:color w:val="333333"/>
          <w:shd w:val="clear" w:color="auto" w:fill="FFFFFF"/>
        </w:rPr>
        <w:t>亿合同，叠加本次新签订的</w:t>
      </w:r>
      <w:r w:rsidRPr="00436EF7">
        <w:rPr>
          <w:rFonts w:ascii="Times New Roman" w:eastAsia="楷体" w:hAnsi="Times New Roman" w:cs="Times New Roman"/>
          <w:color w:val="333333"/>
          <w:shd w:val="clear" w:color="auto" w:fill="FFFFFF"/>
        </w:rPr>
        <w:t>16.15</w:t>
      </w:r>
      <w:r w:rsidRPr="00436EF7">
        <w:rPr>
          <w:rFonts w:ascii="Times New Roman" w:eastAsia="楷体" w:hAnsi="Times New Roman" w:cs="Times New Roman"/>
          <w:color w:val="333333"/>
          <w:shd w:val="clear" w:color="auto" w:fill="FFFFFF"/>
        </w:rPr>
        <w:t>亿，公司</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年在手订单已经超过</w:t>
      </w:r>
      <w:r w:rsidRPr="00436EF7">
        <w:rPr>
          <w:rFonts w:ascii="Times New Roman" w:eastAsia="楷体" w:hAnsi="Times New Roman" w:cs="Times New Roman"/>
          <w:color w:val="333333"/>
          <w:shd w:val="clear" w:color="auto" w:fill="FFFFFF"/>
        </w:rPr>
        <w:t>200</w:t>
      </w:r>
      <w:r w:rsidRPr="00436EF7">
        <w:rPr>
          <w:rFonts w:ascii="Times New Roman" w:eastAsia="楷体" w:hAnsi="Times New Roman" w:cs="Times New Roman"/>
          <w:color w:val="333333"/>
          <w:shd w:val="clear" w:color="auto" w:fill="FFFFFF"/>
        </w:rPr>
        <w:t>亿。此次与双良硅材料的合同交货时间为</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月至</w:t>
      </w:r>
      <w:r w:rsidRPr="00436EF7">
        <w:rPr>
          <w:rFonts w:ascii="Times New Roman" w:eastAsia="楷体" w:hAnsi="Times New Roman" w:cs="Times New Roman"/>
          <w:color w:val="333333"/>
          <w:shd w:val="clear" w:color="auto" w:fill="FFFFFF"/>
        </w:rPr>
        <w:t>2022</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5</w:t>
      </w:r>
      <w:r w:rsidRPr="00436EF7">
        <w:rPr>
          <w:rFonts w:ascii="Times New Roman" w:eastAsia="楷体" w:hAnsi="Times New Roman" w:cs="Times New Roman"/>
          <w:color w:val="333333"/>
          <w:shd w:val="clear" w:color="auto" w:fill="FFFFFF"/>
        </w:rPr>
        <w:t>月，将持续增厚晶盛机电</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年和</w:t>
      </w:r>
      <w:r w:rsidRPr="00436EF7">
        <w:rPr>
          <w:rFonts w:ascii="Times New Roman" w:eastAsia="楷体" w:hAnsi="Times New Roman" w:cs="Times New Roman"/>
          <w:color w:val="333333"/>
          <w:shd w:val="clear" w:color="auto" w:fill="FFFFFF"/>
        </w:rPr>
        <w:t>2022</w:t>
      </w:r>
      <w:r w:rsidRPr="00436EF7">
        <w:rPr>
          <w:rFonts w:ascii="Times New Roman" w:eastAsia="楷体" w:hAnsi="Times New Roman" w:cs="Times New Roman"/>
          <w:color w:val="333333"/>
          <w:shd w:val="clear" w:color="auto" w:fill="FFFFFF"/>
        </w:rPr>
        <w:t>年业绩。</w:t>
      </w:r>
    </w:p>
    <w:p w14:paraId="7BFFA4A6" w14:textId="0C1F2345" w:rsid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长晶设备龙头，布局碳化硅开启第二增长曲线：</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25</w:t>
      </w:r>
      <w:r w:rsidRPr="00436EF7">
        <w:rPr>
          <w:rFonts w:ascii="Times New Roman" w:eastAsia="楷体" w:hAnsi="Times New Roman" w:cs="Times New Roman"/>
          <w:color w:val="333333"/>
          <w:shd w:val="clear" w:color="auto" w:fill="FFFFFF"/>
        </w:rPr>
        <w:t>日公司公告，拟定增</w:t>
      </w:r>
      <w:r w:rsidRPr="00436EF7">
        <w:rPr>
          <w:rFonts w:ascii="Times New Roman" w:eastAsia="楷体" w:hAnsi="Times New Roman" w:cs="Times New Roman"/>
          <w:color w:val="333333"/>
          <w:shd w:val="clear" w:color="auto" w:fill="FFFFFF"/>
        </w:rPr>
        <w:t>57</w:t>
      </w:r>
      <w:r w:rsidRPr="00436EF7">
        <w:rPr>
          <w:rFonts w:ascii="Times New Roman" w:eastAsia="楷体" w:hAnsi="Times New Roman" w:cs="Times New Roman"/>
          <w:color w:val="333333"/>
          <w:shd w:val="clear" w:color="auto" w:fill="FFFFFF"/>
        </w:rPr>
        <w:t>亿元投向碳化硅衬底晶片生产基地（</w:t>
      </w:r>
      <w:r w:rsidRPr="00436EF7">
        <w:rPr>
          <w:rFonts w:ascii="Times New Roman" w:eastAsia="楷体" w:hAnsi="Times New Roman" w:cs="Times New Roman"/>
          <w:color w:val="333333"/>
          <w:shd w:val="clear" w:color="auto" w:fill="FFFFFF"/>
        </w:rPr>
        <w:t>33.6</w:t>
      </w:r>
      <w:r w:rsidRPr="00436EF7">
        <w:rPr>
          <w:rFonts w:ascii="Times New Roman" w:eastAsia="楷体" w:hAnsi="Times New Roman" w:cs="Times New Roman"/>
          <w:color w:val="333333"/>
          <w:shd w:val="clear" w:color="auto" w:fill="FFFFFF"/>
        </w:rPr>
        <w:t>亿）、</w:t>
      </w:r>
      <w:r w:rsidRPr="00436EF7">
        <w:rPr>
          <w:rFonts w:ascii="Times New Roman" w:eastAsia="楷体" w:hAnsi="Times New Roman" w:cs="Times New Roman"/>
          <w:color w:val="333333"/>
          <w:shd w:val="clear" w:color="auto" w:fill="FFFFFF"/>
        </w:rPr>
        <w:t>12</w:t>
      </w:r>
      <w:r w:rsidRPr="00436EF7">
        <w:rPr>
          <w:rFonts w:ascii="Times New Roman" w:eastAsia="楷体" w:hAnsi="Times New Roman" w:cs="Times New Roman"/>
          <w:color w:val="333333"/>
          <w:shd w:val="clear" w:color="auto" w:fill="FFFFFF"/>
        </w:rPr>
        <w:t>英寸集成电路大硅片设备测试实验线（</w:t>
      </w:r>
      <w:r w:rsidRPr="00436EF7">
        <w:rPr>
          <w:rFonts w:ascii="Times New Roman" w:eastAsia="楷体" w:hAnsi="Times New Roman" w:cs="Times New Roman"/>
          <w:color w:val="333333"/>
          <w:shd w:val="clear" w:color="auto" w:fill="FFFFFF"/>
        </w:rPr>
        <w:t>7.5</w:t>
      </w:r>
      <w:r w:rsidRPr="00436EF7">
        <w:rPr>
          <w:rFonts w:ascii="Times New Roman" w:eastAsia="楷体" w:hAnsi="Times New Roman" w:cs="Times New Roman"/>
          <w:color w:val="333333"/>
          <w:shd w:val="clear" w:color="auto" w:fill="FFFFFF"/>
        </w:rPr>
        <w:t>亿）和半导体材料抛光及减薄设备生产制造项目（</w:t>
      </w:r>
      <w:r w:rsidRPr="00436EF7">
        <w:rPr>
          <w:rFonts w:ascii="Times New Roman" w:eastAsia="楷体" w:hAnsi="Times New Roman" w:cs="Times New Roman"/>
          <w:color w:val="333333"/>
          <w:shd w:val="clear" w:color="auto" w:fill="FFFFFF"/>
        </w:rPr>
        <w:t>5</w:t>
      </w:r>
      <w:r w:rsidRPr="00436EF7">
        <w:rPr>
          <w:rFonts w:ascii="Times New Roman" w:eastAsia="楷体" w:hAnsi="Times New Roman" w:cs="Times New Roman"/>
          <w:color w:val="333333"/>
          <w:shd w:val="clear" w:color="auto" w:fill="FFFFFF"/>
        </w:rPr>
        <w:t>亿元）。随着新能源汽车、智能电网、</w:t>
      </w:r>
      <w:r w:rsidRPr="00436EF7">
        <w:rPr>
          <w:rFonts w:ascii="Times New Roman" w:eastAsia="楷体" w:hAnsi="Times New Roman" w:cs="Times New Roman"/>
          <w:color w:val="333333"/>
          <w:shd w:val="clear" w:color="auto" w:fill="FFFFFF"/>
        </w:rPr>
        <w:t xml:space="preserve">5G </w:t>
      </w:r>
      <w:r w:rsidRPr="00436EF7">
        <w:rPr>
          <w:rFonts w:ascii="Times New Roman" w:eastAsia="楷体" w:hAnsi="Times New Roman" w:cs="Times New Roman"/>
          <w:color w:val="333333"/>
          <w:shd w:val="clear" w:color="auto" w:fill="FFFFFF"/>
        </w:rPr>
        <w:t>通讯、光伏发电、消费电子等领域的发展，市场对第三代半导体材料需求不断增加，提前布局碳化硅晶片业务。公司已成功生长出</w:t>
      </w:r>
      <w:r w:rsidRPr="00436EF7">
        <w:rPr>
          <w:rFonts w:ascii="Times New Roman" w:eastAsia="楷体" w:hAnsi="Times New Roman" w:cs="Times New Roman"/>
          <w:color w:val="333333"/>
          <w:shd w:val="clear" w:color="auto" w:fill="FFFFFF"/>
        </w:rPr>
        <w:t>6</w:t>
      </w:r>
      <w:r w:rsidRPr="00436EF7">
        <w:rPr>
          <w:rFonts w:ascii="Times New Roman" w:eastAsia="楷体" w:hAnsi="Times New Roman" w:cs="Times New Roman"/>
          <w:color w:val="333333"/>
          <w:shd w:val="clear" w:color="auto" w:fill="FFFFFF"/>
        </w:rPr>
        <w:t>英寸碳化硅晶体，碳化硅外延设备已通过客户验证，并逐步建立</w:t>
      </w:r>
      <w:r w:rsidRPr="00436EF7">
        <w:rPr>
          <w:rFonts w:ascii="Times New Roman" w:eastAsia="楷体" w:hAnsi="Times New Roman" w:cs="Times New Roman"/>
          <w:color w:val="333333"/>
          <w:shd w:val="clear" w:color="auto" w:fill="FFFFFF"/>
        </w:rPr>
        <w:t>6</w:t>
      </w:r>
      <w:r w:rsidRPr="00436EF7">
        <w:rPr>
          <w:rFonts w:ascii="Times New Roman" w:eastAsia="楷体" w:hAnsi="Times New Roman" w:cs="Times New Roman"/>
          <w:color w:val="333333"/>
          <w:shd w:val="clear" w:color="auto" w:fill="FFFFFF"/>
        </w:rPr>
        <w:t>英寸碳化硅晶体生长、切片、抛光测试线，未来有望打破</w:t>
      </w:r>
      <w:proofErr w:type="spellStart"/>
      <w:r w:rsidRPr="00436EF7">
        <w:rPr>
          <w:rFonts w:ascii="Times New Roman" w:eastAsia="楷体" w:hAnsi="Times New Roman" w:cs="Times New Roman"/>
          <w:color w:val="333333"/>
          <w:shd w:val="clear" w:color="auto" w:fill="FFFFFF"/>
        </w:rPr>
        <w:t>Wolfspeed</w:t>
      </w:r>
      <w:proofErr w:type="spellEnd"/>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II-VI</w:t>
      </w:r>
      <w:r w:rsidRPr="00436EF7">
        <w:rPr>
          <w:rFonts w:ascii="Times New Roman" w:eastAsia="楷体" w:hAnsi="Times New Roman" w:cs="Times New Roman"/>
          <w:color w:val="333333"/>
          <w:shd w:val="clear" w:color="auto" w:fill="FFFFFF"/>
        </w:rPr>
        <w:t>等企业在碳化硅衬底材料的垄断地位。根据</w:t>
      </w:r>
      <w:r w:rsidRPr="00436EF7">
        <w:rPr>
          <w:rFonts w:ascii="Times New Roman" w:eastAsia="楷体" w:hAnsi="Times New Roman" w:cs="Times New Roman"/>
          <w:color w:val="333333"/>
          <w:shd w:val="clear" w:color="auto" w:fill="FFFFFF"/>
        </w:rPr>
        <w:t xml:space="preserve"> </w:t>
      </w:r>
      <w:proofErr w:type="spellStart"/>
      <w:r w:rsidRPr="00436EF7">
        <w:rPr>
          <w:rFonts w:ascii="Times New Roman" w:eastAsia="楷体" w:hAnsi="Times New Roman" w:cs="Times New Roman"/>
          <w:color w:val="333333"/>
          <w:shd w:val="clear" w:color="auto" w:fill="FFFFFF"/>
        </w:rPr>
        <w:t>Yole</w:t>
      </w:r>
      <w:proofErr w:type="spellEnd"/>
      <w:r w:rsidRPr="00436EF7">
        <w:rPr>
          <w:rFonts w:ascii="Times New Roman" w:eastAsia="楷体" w:hAnsi="Times New Roman" w:cs="Times New Roman"/>
          <w:color w:val="333333"/>
          <w:shd w:val="clear" w:color="auto" w:fill="FFFFFF"/>
        </w:rPr>
        <w:t xml:space="preserve"> </w:t>
      </w:r>
      <w:r w:rsidRPr="00436EF7">
        <w:rPr>
          <w:rFonts w:ascii="Times New Roman" w:eastAsia="楷体" w:hAnsi="Times New Roman" w:cs="Times New Roman"/>
          <w:color w:val="333333"/>
          <w:shd w:val="clear" w:color="auto" w:fill="FFFFFF"/>
        </w:rPr>
        <w:t>测算，仅碳化硅器件中的功率器件的市场规模即将从</w:t>
      </w:r>
      <w:r w:rsidRPr="00436EF7">
        <w:rPr>
          <w:rFonts w:ascii="Times New Roman" w:eastAsia="楷体" w:hAnsi="Times New Roman" w:cs="Times New Roman"/>
          <w:color w:val="333333"/>
          <w:shd w:val="clear" w:color="auto" w:fill="FFFFFF"/>
        </w:rPr>
        <w:t xml:space="preserve">2018 </w:t>
      </w:r>
      <w:r w:rsidRPr="00436EF7">
        <w:rPr>
          <w:rFonts w:ascii="Times New Roman" w:eastAsia="楷体" w:hAnsi="Times New Roman" w:cs="Times New Roman"/>
          <w:color w:val="333333"/>
          <w:shd w:val="clear" w:color="auto" w:fill="FFFFFF"/>
        </w:rPr>
        <w:t>年的</w:t>
      </w:r>
      <w:r w:rsidRPr="00436EF7">
        <w:rPr>
          <w:rFonts w:ascii="Times New Roman" w:eastAsia="楷体" w:hAnsi="Times New Roman" w:cs="Times New Roman"/>
          <w:color w:val="333333"/>
          <w:shd w:val="clear" w:color="auto" w:fill="FFFFFF"/>
        </w:rPr>
        <w:t>1.21</w:t>
      </w:r>
      <w:r w:rsidRPr="00436EF7">
        <w:rPr>
          <w:rFonts w:ascii="Times New Roman" w:eastAsia="楷体" w:hAnsi="Times New Roman" w:cs="Times New Roman"/>
          <w:color w:val="333333"/>
          <w:shd w:val="clear" w:color="auto" w:fill="FFFFFF"/>
        </w:rPr>
        <w:t>亿美元增长至</w:t>
      </w:r>
      <w:r w:rsidRPr="00436EF7">
        <w:rPr>
          <w:rFonts w:ascii="Times New Roman" w:eastAsia="楷体" w:hAnsi="Times New Roman" w:cs="Times New Roman"/>
          <w:color w:val="333333"/>
          <w:shd w:val="clear" w:color="auto" w:fill="FFFFFF"/>
        </w:rPr>
        <w:t xml:space="preserve">2024 </w:t>
      </w:r>
      <w:r w:rsidRPr="00436EF7">
        <w:rPr>
          <w:rFonts w:ascii="Times New Roman" w:eastAsia="楷体" w:hAnsi="Times New Roman" w:cs="Times New Roman"/>
          <w:color w:val="333333"/>
          <w:shd w:val="clear" w:color="auto" w:fill="FFFFFF"/>
        </w:rPr>
        <w:t>年的</w:t>
      </w:r>
      <w:r w:rsidRPr="00436EF7">
        <w:rPr>
          <w:rFonts w:ascii="Times New Roman" w:eastAsia="楷体" w:hAnsi="Times New Roman" w:cs="Times New Roman"/>
          <w:color w:val="333333"/>
          <w:shd w:val="clear" w:color="auto" w:fill="FFFFFF"/>
        </w:rPr>
        <w:t>11</w:t>
      </w:r>
      <w:r w:rsidRPr="00436EF7">
        <w:rPr>
          <w:rFonts w:ascii="Times New Roman" w:eastAsia="楷体" w:hAnsi="Times New Roman" w:cs="Times New Roman"/>
          <w:color w:val="333333"/>
          <w:shd w:val="clear" w:color="auto" w:fill="FFFFFF"/>
        </w:rPr>
        <w:t>亿美元，复合年增长率约</w:t>
      </w:r>
      <w:r w:rsidRPr="00436EF7">
        <w:rPr>
          <w:rFonts w:ascii="Times New Roman" w:eastAsia="楷体" w:hAnsi="Times New Roman" w:cs="Times New Roman"/>
          <w:color w:val="333333"/>
          <w:shd w:val="clear" w:color="auto" w:fill="FFFFFF"/>
        </w:rPr>
        <w:t xml:space="preserve"> 44%</w:t>
      </w:r>
      <w:r w:rsidRPr="00436EF7">
        <w:rPr>
          <w:rFonts w:ascii="Times New Roman" w:eastAsia="楷体" w:hAnsi="Times New Roman" w:cs="Times New Roman"/>
          <w:color w:val="333333"/>
          <w:shd w:val="clear" w:color="auto" w:fill="FFFFFF"/>
        </w:rPr>
        <w:t>。预计到</w:t>
      </w:r>
      <w:r w:rsidRPr="00436EF7">
        <w:rPr>
          <w:rFonts w:ascii="Times New Roman" w:eastAsia="楷体" w:hAnsi="Times New Roman" w:cs="Times New Roman"/>
          <w:color w:val="333333"/>
          <w:shd w:val="clear" w:color="auto" w:fill="FFFFFF"/>
        </w:rPr>
        <w:t>2027</w:t>
      </w:r>
      <w:r w:rsidRPr="00436EF7">
        <w:rPr>
          <w:rFonts w:ascii="Times New Roman" w:eastAsia="楷体" w:hAnsi="Times New Roman" w:cs="Times New Roman"/>
          <w:color w:val="333333"/>
          <w:shd w:val="clear" w:color="auto" w:fill="FFFFFF"/>
        </w:rPr>
        <w:t>年碳化硅衬底材料的市场规模预计将达到</w:t>
      </w:r>
      <w:r w:rsidRPr="00436EF7">
        <w:rPr>
          <w:rFonts w:ascii="Times New Roman" w:eastAsia="楷体" w:hAnsi="Times New Roman" w:cs="Times New Roman"/>
          <w:color w:val="333333"/>
          <w:shd w:val="clear" w:color="auto" w:fill="FFFFFF"/>
        </w:rPr>
        <w:t>33</w:t>
      </w:r>
      <w:r w:rsidRPr="00436EF7">
        <w:rPr>
          <w:rFonts w:ascii="Times New Roman" w:eastAsia="楷体" w:hAnsi="Times New Roman" w:cs="Times New Roman"/>
          <w:color w:val="333333"/>
          <w:shd w:val="clear" w:color="auto" w:fill="FFFFFF"/>
        </w:rPr>
        <w:t>亿美元。公司计划建设年产</w:t>
      </w:r>
      <w:r w:rsidRPr="00436EF7">
        <w:rPr>
          <w:rFonts w:ascii="Times New Roman" w:eastAsia="楷体" w:hAnsi="Times New Roman" w:cs="Times New Roman"/>
          <w:color w:val="333333"/>
          <w:shd w:val="clear" w:color="auto" w:fill="FFFFFF"/>
        </w:rPr>
        <w:t>40</w:t>
      </w:r>
      <w:r w:rsidRPr="00436EF7">
        <w:rPr>
          <w:rFonts w:ascii="Times New Roman" w:eastAsia="楷体" w:hAnsi="Times New Roman" w:cs="Times New Roman"/>
          <w:color w:val="333333"/>
          <w:shd w:val="clear" w:color="auto" w:fill="FFFFFF"/>
        </w:rPr>
        <w:t>万片碳化硅衬底生产项目，投产后将成为公司带动业绩增长的第二曲线，加强公司的综合竞争力。</w:t>
      </w:r>
    </w:p>
    <w:p w14:paraId="2198B93A" w14:textId="77777777" w:rsidR="00436EF7" w:rsidRPr="00436EF7" w:rsidRDefault="00436EF7" w:rsidP="00436EF7">
      <w:pPr>
        <w:spacing w:afterLines="50" w:after="120"/>
        <w:rPr>
          <w:rFonts w:ascii="Times New Roman" w:eastAsia="楷体" w:hAnsi="Times New Roman" w:cs="Times New Roman" w:hint="eastAsia"/>
          <w:color w:val="333333"/>
          <w:shd w:val="clear" w:color="auto" w:fill="FFFFFF"/>
        </w:rPr>
      </w:pPr>
    </w:p>
    <w:p w14:paraId="3713DF31" w14:textId="195C7C74" w:rsidR="00037E01" w:rsidRDefault="00436EF7" w:rsidP="00436EF7">
      <w:pPr>
        <w:spacing w:afterLines="50" w:after="1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（分析师：曲小溪，执业证书编号：</w:t>
      </w:r>
      <w:r w:rsidRPr="00436EF7">
        <w:rPr>
          <w:rFonts w:ascii="Times New Roman" w:eastAsia="楷体" w:hAnsi="Times New Roman" w:cs="Times New Roman"/>
          <w:color w:val="333333"/>
          <w:shd w:val="clear" w:color="auto" w:fill="FFFFFF"/>
        </w:rPr>
        <w:t>S0110521080001</w:t>
      </w:r>
      <w:r w:rsidRPr="00436EF7">
        <w:rPr>
          <w:rFonts w:ascii="Times New Roman" w:eastAsia="楷体" w:hAnsi="Times New Roman" w:cs="Times New Roman"/>
          <w:color w:val="333333"/>
          <w:shd w:val="clear" w:color="auto" w:fill="FFFFFF"/>
        </w:rPr>
        <w:t>）</w:t>
      </w:r>
    </w:p>
    <w:p w14:paraId="10661A1E" w14:textId="77777777" w:rsidR="00037E01" w:rsidRDefault="00037E01">
      <w:pPr>
        <w:spacing w:afterLines="50" w:after="120"/>
        <w:rPr>
          <w:rFonts w:ascii="Times New Roman" w:eastAsia="楷体" w:hAnsi="Times New Roman" w:cs="Times New Roman"/>
          <w:color w:val="333333"/>
          <w:shd w:val="clear" w:color="auto" w:fill="FFFFFF"/>
        </w:rPr>
      </w:pPr>
    </w:p>
    <w:p w14:paraId="2F4CA490" w14:textId="5BF1FFD0" w:rsidR="003E3742" w:rsidRDefault="00436EF7" w:rsidP="003E3742">
      <w:pPr>
        <w:spacing w:afterLines="50" w:after="120"/>
        <w:rPr>
          <w:rFonts w:ascii="黑体" w:eastAsia="黑体" w:hAnsi="黑体" w:cs="Times New Roman"/>
          <w:b/>
          <w:bCs/>
          <w:color w:val="000000" w:themeColor="text1"/>
          <w:sz w:val="28"/>
          <w:szCs w:val="28"/>
        </w:rPr>
      </w:pPr>
      <w:r>
        <w:rPr>
          <w:rFonts w:ascii="黑体" w:eastAsia="黑体" w:hAnsi="黑体" w:cs="Times New Roman" w:hint="eastAsia"/>
          <w:b/>
          <w:bCs/>
          <w:color w:val="000000" w:themeColor="text1"/>
          <w:sz w:val="28"/>
          <w:szCs w:val="28"/>
        </w:rPr>
        <w:t>计算机</w:t>
      </w:r>
      <w:r w:rsidRPr="00436EF7">
        <w:rPr>
          <w:rFonts w:ascii="黑体" w:eastAsia="黑体" w:hAnsi="黑体" w:cs="Times New Roman"/>
          <w:b/>
          <w:bCs/>
          <w:color w:val="000000" w:themeColor="text1"/>
          <w:sz w:val="28"/>
          <w:szCs w:val="28"/>
        </w:rPr>
        <w:t>行业：《网络数据安全管理条例（征求意见稿）》发布，重视数据安全带来的网安公司投资机会</w:t>
      </w:r>
    </w:p>
    <w:p w14:paraId="2A51FCD5" w14:textId="77777777" w:rsidR="003E3742" w:rsidRDefault="003E3742" w:rsidP="003E3742">
      <w:pPr>
        <w:spacing w:afterLines="50" w:after="120"/>
        <w:ind w:firstLineChars="200" w:firstLine="420"/>
        <w:rPr>
          <w:rFonts w:ascii="Times New Roman" w:eastAsia="楷体" w:hAnsi="Times New Roman" w:cs="Times New Roman"/>
          <w:color w:val="333333"/>
          <w:shd w:val="clear" w:color="auto" w:fill="FFFFFF"/>
        </w:rPr>
      </w:pPr>
    </w:p>
    <w:p w14:paraId="65464A75" w14:textId="7A0E7384"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事件：</w:t>
      </w:r>
      <w:r w:rsidRPr="00436EF7">
        <w:rPr>
          <w:rFonts w:ascii="Times New Roman" w:eastAsia="楷体" w:hAnsi="Times New Roman" w:cs="Times New Roman"/>
          <w:color w:val="333333"/>
          <w:shd w:val="clear" w:color="auto" w:fill="FFFFFF"/>
        </w:rPr>
        <w:t>11</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14</w:t>
      </w:r>
      <w:r w:rsidRPr="00436EF7">
        <w:rPr>
          <w:rFonts w:ascii="Times New Roman" w:eastAsia="楷体" w:hAnsi="Times New Roman" w:cs="Times New Roman"/>
          <w:color w:val="333333"/>
          <w:shd w:val="clear" w:color="auto" w:fill="FFFFFF"/>
        </w:rPr>
        <w:t>日，为落实《中华人民共和国网络安全法》《中华人民共和国数据安全法》《中华人民共和国个人信息保护法》等法律关于数据安全管理的规定，规范网络数据处理活动，保护个人、组织在网络空间的合法权益，维护国家安全和公共利益，根据国务院</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年立法计划，国家网信办会同相关部门发布《网络数据安全管理条例（征求意见稿）》。</w:t>
      </w:r>
    </w:p>
    <w:p w14:paraId="78F22499" w14:textId="6EEC4B3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简评：数据安全领域政策密集落地，远期有望撬动千亿数据安全收入。今年以来数据安全领域相关的法律陆续落地。</w:t>
      </w:r>
      <w:r w:rsidRPr="00436EF7">
        <w:rPr>
          <w:rFonts w:ascii="Times New Roman" w:eastAsia="楷体" w:hAnsi="Times New Roman" w:cs="Times New Roman"/>
          <w:color w:val="333333"/>
          <w:shd w:val="clear" w:color="auto" w:fill="FFFFFF"/>
        </w:rPr>
        <w:t>9</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1</w:t>
      </w:r>
      <w:r w:rsidRPr="00436EF7">
        <w:rPr>
          <w:rFonts w:ascii="Times New Roman" w:eastAsia="楷体" w:hAnsi="Times New Roman" w:cs="Times New Roman"/>
          <w:color w:val="333333"/>
          <w:shd w:val="clear" w:color="auto" w:fill="FFFFFF"/>
        </w:rPr>
        <w:t>日，《数据安全法》正式施行。</w:t>
      </w:r>
      <w:r w:rsidRPr="00436EF7">
        <w:rPr>
          <w:rFonts w:ascii="Times New Roman" w:eastAsia="楷体" w:hAnsi="Times New Roman" w:cs="Times New Roman"/>
          <w:color w:val="333333"/>
          <w:shd w:val="clear" w:color="auto" w:fill="FFFFFF"/>
        </w:rPr>
        <w:t>7</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日，国家网信办发布了《网络安全审查办法</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修订草案征求意见稿</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w:t>
      </w:r>
      <w:r w:rsidRPr="00436EF7">
        <w:rPr>
          <w:rFonts w:ascii="Times New Roman" w:eastAsia="楷体" w:hAnsi="Times New Roman" w:cs="Times New Roman"/>
          <w:color w:val="333333"/>
          <w:shd w:val="clear" w:color="auto" w:fill="FFFFFF"/>
        </w:rPr>
        <w:t>9</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30</w:t>
      </w:r>
      <w:r w:rsidRPr="00436EF7">
        <w:rPr>
          <w:rFonts w:ascii="Times New Roman" w:eastAsia="楷体" w:hAnsi="Times New Roman" w:cs="Times New Roman"/>
          <w:color w:val="333333"/>
          <w:shd w:val="clear" w:color="auto" w:fill="FFFFFF"/>
        </w:rPr>
        <w:t>日，工信部研发布了《工业和信息化领域数据安全管理办法（试行）（征求意见稿）》。</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1</w:t>
      </w:r>
      <w:r w:rsidRPr="00436EF7">
        <w:rPr>
          <w:rFonts w:ascii="Times New Roman" w:eastAsia="楷体" w:hAnsi="Times New Roman" w:cs="Times New Roman"/>
          <w:color w:val="333333"/>
          <w:shd w:val="clear" w:color="auto" w:fill="FFFFFF"/>
        </w:rPr>
        <w:t>日，《汽车数据安全管理若干规定（试行）》正式施行。</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29</w:t>
      </w:r>
      <w:r w:rsidRPr="00436EF7">
        <w:rPr>
          <w:rFonts w:ascii="Times New Roman" w:eastAsia="楷体" w:hAnsi="Times New Roman" w:cs="Times New Roman"/>
          <w:color w:val="333333"/>
          <w:shd w:val="clear" w:color="auto" w:fill="FFFFFF"/>
        </w:rPr>
        <w:t>日，国家市场监督管理总局发布了《互联网平台落实主体责任指南（征求意见稿）》。</w:t>
      </w:r>
      <w:r w:rsidRPr="00436EF7">
        <w:rPr>
          <w:rFonts w:ascii="Times New Roman" w:eastAsia="楷体" w:hAnsi="Times New Roman" w:cs="Times New Roman"/>
          <w:color w:val="333333"/>
          <w:shd w:val="clear" w:color="auto" w:fill="FFFFFF"/>
        </w:rPr>
        <w:t>11</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1</w:t>
      </w:r>
      <w:r w:rsidRPr="00436EF7">
        <w:rPr>
          <w:rFonts w:ascii="Times New Roman" w:eastAsia="楷体" w:hAnsi="Times New Roman" w:cs="Times New Roman"/>
          <w:color w:val="333333"/>
          <w:shd w:val="clear" w:color="auto" w:fill="FFFFFF"/>
        </w:rPr>
        <w:t>日，《个人信息保护法》正式施行。国家对数据安全领域愈发重视，监管日趋严苛。这意味着在数据安全领域，各主体单位将需要增加在数据安全保护和合规方面的投入。</w:t>
      </w:r>
      <w:r w:rsidRPr="00436EF7">
        <w:rPr>
          <w:rFonts w:ascii="Times New Roman" w:eastAsia="楷体" w:hAnsi="Times New Roman" w:cs="Times New Roman"/>
          <w:color w:val="333333"/>
          <w:shd w:val="clear" w:color="auto" w:fill="FFFFFF"/>
        </w:rPr>
        <w:t>KPMG</w:t>
      </w:r>
      <w:r w:rsidRPr="00436EF7">
        <w:rPr>
          <w:rFonts w:ascii="Times New Roman" w:eastAsia="楷体" w:hAnsi="Times New Roman" w:cs="Times New Roman"/>
          <w:color w:val="333333"/>
          <w:shd w:val="clear" w:color="auto" w:fill="FFFFFF"/>
        </w:rPr>
        <w:t>毕马威预计，</w:t>
      </w:r>
      <w:r w:rsidRPr="00436EF7">
        <w:rPr>
          <w:rFonts w:ascii="Times New Roman" w:eastAsia="楷体" w:hAnsi="Times New Roman" w:cs="Times New Roman"/>
          <w:color w:val="333333"/>
          <w:shd w:val="clear" w:color="auto" w:fill="FFFFFF"/>
        </w:rPr>
        <w:t>2023</w:t>
      </w:r>
      <w:r w:rsidRPr="00436EF7">
        <w:rPr>
          <w:rFonts w:ascii="Times New Roman" w:eastAsia="楷体" w:hAnsi="Times New Roman" w:cs="Times New Roman"/>
          <w:color w:val="333333"/>
          <w:shd w:val="clear" w:color="auto" w:fill="FFFFFF"/>
        </w:rPr>
        <w:t>年国内数据安全技术服务市场规模有望达百亿，随着</w:t>
      </w:r>
      <w:r w:rsidRPr="00436EF7">
        <w:rPr>
          <w:rFonts w:ascii="Times New Roman" w:eastAsia="楷体" w:hAnsi="Times New Roman" w:cs="Times New Roman"/>
          <w:color w:val="333333"/>
          <w:shd w:val="clear" w:color="auto" w:fill="FFFFFF"/>
        </w:rPr>
        <w:t>IT</w:t>
      </w:r>
      <w:r w:rsidRPr="00436EF7">
        <w:rPr>
          <w:rFonts w:ascii="Times New Roman" w:eastAsia="楷体" w:hAnsi="Times New Roman" w:cs="Times New Roman"/>
          <w:color w:val="333333"/>
          <w:shd w:val="clear" w:color="auto" w:fill="FFFFFF"/>
        </w:rPr>
        <w:t>架构走向云化，长期将撬</w:t>
      </w:r>
      <w:r w:rsidRPr="00436EF7">
        <w:rPr>
          <w:rFonts w:ascii="Times New Roman" w:eastAsia="楷体" w:hAnsi="Times New Roman" w:cs="Times New Roman"/>
          <w:color w:val="333333"/>
          <w:shd w:val="clear" w:color="auto" w:fill="FFFFFF"/>
        </w:rPr>
        <w:lastRenderedPageBreak/>
        <w:t>动千亿级的数据安全</w:t>
      </w:r>
      <w:r w:rsidRPr="00436EF7">
        <w:rPr>
          <w:rFonts w:ascii="Times New Roman" w:eastAsia="楷体" w:hAnsi="Times New Roman" w:cs="Times New Roman"/>
          <w:color w:val="333333"/>
          <w:shd w:val="clear" w:color="auto" w:fill="FFFFFF"/>
        </w:rPr>
        <w:t>SaaS</w:t>
      </w:r>
      <w:r w:rsidRPr="00436EF7">
        <w:rPr>
          <w:rFonts w:ascii="Times New Roman" w:eastAsia="楷体" w:hAnsi="Times New Roman" w:cs="Times New Roman"/>
          <w:color w:val="333333"/>
          <w:shd w:val="clear" w:color="auto" w:fill="FFFFFF"/>
        </w:rPr>
        <w:t>运营收入。今年以来正逐步加大在数据安全领域的布局和投入，我们认为随着明年相关政策的顺利执行，网安公司有望充分受益于行业新的发展机遇。</w:t>
      </w:r>
    </w:p>
    <w:p w14:paraId="7C73005B"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数据安全细分车联网安全领域，三六零入股哪吒率先布局抢占先机。</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年《汽车数据安全管理若干规定（试行）》已于今年</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w:t>
      </w:r>
      <w:r w:rsidRPr="00436EF7">
        <w:rPr>
          <w:rFonts w:ascii="Times New Roman" w:eastAsia="楷体" w:hAnsi="Times New Roman" w:cs="Times New Roman"/>
          <w:color w:val="333333"/>
          <w:shd w:val="clear" w:color="auto" w:fill="FFFFFF"/>
        </w:rPr>
        <w:t>1</w:t>
      </w:r>
      <w:r w:rsidRPr="00436EF7">
        <w:rPr>
          <w:rFonts w:ascii="Times New Roman" w:eastAsia="楷体" w:hAnsi="Times New Roman" w:cs="Times New Roman"/>
          <w:color w:val="333333"/>
          <w:shd w:val="clear" w:color="auto" w:fill="FFFFFF"/>
        </w:rPr>
        <w:t>日正式施行，该规定旨在规范汽车数据处理活动，保护个人、组织的合法权益，维护国家安全和社会公共利益，促进汽车数据合理开发利用。今年</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月三六零公告拟以自有资金</w:t>
      </w:r>
      <w:r w:rsidRPr="00436EF7">
        <w:rPr>
          <w:rFonts w:ascii="Times New Roman" w:eastAsia="楷体" w:hAnsi="Times New Roman" w:cs="Times New Roman"/>
          <w:color w:val="333333"/>
          <w:shd w:val="clear" w:color="auto" w:fill="FFFFFF"/>
        </w:rPr>
        <w:t>29</w:t>
      </w:r>
      <w:r w:rsidRPr="00436EF7">
        <w:rPr>
          <w:rFonts w:ascii="Times New Roman" w:eastAsia="楷体" w:hAnsi="Times New Roman" w:cs="Times New Roman"/>
          <w:color w:val="333333"/>
          <w:shd w:val="clear" w:color="auto" w:fill="FFFFFF"/>
        </w:rPr>
        <w:t>亿元入股造车新势力哪吒，成为其第二大股东。作为国内网络安全领域的领军企业，本次战略入股哪吒汽车，依托哪吒在新能源汽车领域的优势地位（</w:t>
      </w:r>
      <w:r w:rsidRPr="00436EF7">
        <w:rPr>
          <w:rFonts w:ascii="Times New Roman" w:eastAsia="楷体" w:hAnsi="Times New Roman" w:cs="Times New Roman"/>
          <w:color w:val="333333"/>
          <w:shd w:val="clear" w:color="auto" w:fill="FFFFFF"/>
        </w:rPr>
        <w:t>2021</w:t>
      </w:r>
      <w:r w:rsidRPr="00436EF7">
        <w:rPr>
          <w:rFonts w:ascii="Times New Roman" w:eastAsia="楷体" w:hAnsi="Times New Roman" w:cs="Times New Roman"/>
          <w:color w:val="333333"/>
          <w:shd w:val="clear" w:color="auto" w:fill="FFFFFF"/>
        </w:rPr>
        <w:t>年</w:t>
      </w:r>
      <w:r w:rsidRPr="00436EF7">
        <w:rPr>
          <w:rFonts w:ascii="Times New Roman" w:eastAsia="楷体" w:hAnsi="Times New Roman" w:cs="Times New Roman"/>
          <w:color w:val="333333"/>
          <w:shd w:val="clear" w:color="auto" w:fill="FFFFFF"/>
        </w:rPr>
        <w:t>10</w:t>
      </w:r>
      <w:r w:rsidRPr="00436EF7">
        <w:rPr>
          <w:rFonts w:ascii="Times New Roman" w:eastAsia="楷体" w:hAnsi="Times New Roman" w:cs="Times New Roman"/>
          <w:color w:val="333333"/>
          <w:shd w:val="clear" w:color="auto" w:fill="FFFFFF"/>
        </w:rPr>
        <w:t>月交付量已位居造车新势力第二），三六零拟以智能网联汽车安全作为基石，将自身在网络安全、智能硬件安全、车联网安全等领域的积累和经验赋能哪吒汽车，并进一步赋能全行业车企及产业链伙伴，使网联汽车在智能化进程中兼顾</w:t>
      </w:r>
      <w:r w:rsidRPr="00436EF7">
        <w:rPr>
          <w:rFonts w:ascii="Times New Roman" w:eastAsia="楷体" w:hAnsi="Times New Roman" w:cs="Times New Roman"/>
          <w:color w:val="333333"/>
          <w:shd w:val="clear" w:color="auto" w:fill="FFFFFF"/>
        </w:rPr>
        <w:t>OTA</w:t>
      </w:r>
      <w:r w:rsidRPr="00436EF7">
        <w:rPr>
          <w:rFonts w:ascii="Times New Roman" w:eastAsia="楷体" w:hAnsi="Times New Roman" w:cs="Times New Roman"/>
          <w:color w:val="333333"/>
          <w:shd w:val="clear" w:color="auto" w:fill="FFFFFF"/>
        </w:rPr>
        <w:t>信息安全、数据安全、功能安全、运营安全，打造智能网联汽车全生命周期安全解决方案的行业标杆。</w:t>
      </w:r>
    </w:p>
    <w:p w14:paraId="62E1B026"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投资建议：围绕数据安全，重点关注：（</w:t>
      </w:r>
      <w:r w:rsidRPr="00436EF7">
        <w:rPr>
          <w:rFonts w:ascii="Times New Roman" w:eastAsia="楷体" w:hAnsi="Times New Roman" w:cs="Times New Roman"/>
          <w:color w:val="333333"/>
          <w:shd w:val="clear" w:color="auto" w:fill="FFFFFF"/>
        </w:rPr>
        <w:t>1</w:t>
      </w:r>
      <w:r w:rsidRPr="00436EF7">
        <w:rPr>
          <w:rFonts w:ascii="Times New Roman" w:eastAsia="楷体" w:hAnsi="Times New Roman" w:cs="Times New Roman"/>
          <w:color w:val="333333"/>
          <w:shd w:val="clear" w:color="auto" w:fill="FFFFFF"/>
        </w:rPr>
        <w:t>）积极布局数据安全领域的综合网络安全公司三六零、深信服、奇安信、启明星辰、安恒信息、绿盟科技等；（</w:t>
      </w:r>
      <w:r w:rsidRPr="00436EF7">
        <w:rPr>
          <w:rFonts w:ascii="Times New Roman" w:eastAsia="楷体" w:hAnsi="Times New Roman" w:cs="Times New Roman"/>
          <w:color w:val="333333"/>
          <w:shd w:val="clear" w:color="auto" w:fill="FFFFFF"/>
        </w:rPr>
        <w:t>2</w:t>
      </w:r>
      <w:r w:rsidRPr="00436EF7">
        <w:rPr>
          <w:rFonts w:ascii="Times New Roman" w:eastAsia="楷体" w:hAnsi="Times New Roman" w:cs="Times New Roman"/>
          <w:color w:val="333333"/>
          <w:shd w:val="clear" w:color="auto" w:fill="FFFFFF"/>
        </w:rPr>
        <w:t>）细分行业龙头信安世纪、格尔软件、卫士通等。</w:t>
      </w:r>
    </w:p>
    <w:p w14:paraId="072F7CD9" w14:textId="77777777" w:rsidR="00436EF7" w:rsidRPr="00436EF7" w:rsidRDefault="00436EF7" w:rsidP="00436EF7">
      <w:pPr>
        <w:spacing w:afterLines="50" w:after="120"/>
        <w:ind w:firstLineChars="200" w:firstLine="4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风险提示：政策推进不及预期，车联网市场发展不及预期。</w:t>
      </w:r>
    </w:p>
    <w:p w14:paraId="43D5388B" w14:textId="77777777" w:rsidR="00436EF7" w:rsidRPr="00436EF7" w:rsidRDefault="00436EF7" w:rsidP="00436EF7">
      <w:pPr>
        <w:spacing w:afterLines="50" w:after="120"/>
        <w:rPr>
          <w:rFonts w:ascii="Times New Roman" w:eastAsia="楷体" w:hAnsi="Times New Roman" w:cs="Times New Roman"/>
          <w:color w:val="333333"/>
          <w:shd w:val="clear" w:color="auto" w:fill="FFFFFF"/>
        </w:rPr>
      </w:pPr>
    </w:p>
    <w:p w14:paraId="7446397E" w14:textId="2B309018" w:rsidR="00037E01" w:rsidRDefault="00436EF7" w:rsidP="00436EF7">
      <w:pPr>
        <w:spacing w:afterLines="50" w:after="120"/>
        <w:rPr>
          <w:rFonts w:ascii="Times New Roman" w:eastAsia="楷体" w:hAnsi="Times New Roman" w:cs="Times New Roman"/>
          <w:color w:val="333333"/>
          <w:shd w:val="clear" w:color="auto" w:fill="FFFFFF"/>
        </w:rPr>
      </w:pPr>
      <w:r w:rsidRPr="00436EF7">
        <w:rPr>
          <w:rFonts w:ascii="Times New Roman" w:eastAsia="楷体" w:hAnsi="Times New Roman" w:cs="Times New Roman"/>
          <w:color w:val="333333"/>
          <w:shd w:val="clear" w:color="auto" w:fill="FFFFFF"/>
        </w:rPr>
        <w:t>（</w:t>
      </w:r>
      <w:r>
        <w:rPr>
          <w:rFonts w:ascii="Times New Roman" w:eastAsia="楷体" w:hAnsi="Times New Roman" w:cs="Times New Roman" w:hint="eastAsia"/>
          <w:color w:val="333333"/>
          <w:shd w:val="clear" w:color="auto" w:fill="FFFFFF"/>
        </w:rPr>
        <w:t>分析师</w:t>
      </w:r>
      <w:r w:rsidRPr="00436EF7">
        <w:rPr>
          <w:rFonts w:ascii="Times New Roman" w:eastAsia="楷体" w:hAnsi="Times New Roman" w:cs="Times New Roman"/>
          <w:color w:val="333333"/>
          <w:shd w:val="clear" w:color="auto" w:fill="FFFFFF"/>
        </w:rPr>
        <w:t>：翟炜，执业证书编号：</w:t>
      </w:r>
      <w:r w:rsidRPr="00436EF7">
        <w:rPr>
          <w:rFonts w:ascii="Times New Roman" w:eastAsia="楷体" w:hAnsi="Times New Roman" w:cs="Times New Roman"/>
          <w:color w:val="333333"/>
          <w:shd w:val="clear" w:color="auto" w:fill="FFFFFF"/>
        </w:rPr>
        <w:t>S0110521050002</w:t>
      </w:r>
      <w:r w:rsidRPr="00436EF7">
        <w:rPr>
          <w:rFonts w:ascii="Times New Roman" w:eastAsia="楷体" w:hAnsi="Times New Roman" w:cs="Times New Roman"/>
          <w:color w:val="333333"/>
          <w:shd w:val="clear" w:color="auto" w:fill="FFFFFF"/>
        </w:rPr>
        <w:t>）</w:t>
      </w:r>
    </w:p>
    <w:p w14:paraId="0114ADF5" w14:textId="77777777" w:rsidR="007A3B71" w:rsidRDefault="007A3B71" w:rsidP="00436EF7">
      <w:pPr>
        <w:spacing w:afterLines="50" w:after="120"/>
        <w:rPr>
          <w:rFonts w:ascii="Times New Roman" w:eastAsia="楷体" w:hAnsi="Times New Roman" w:cs="Times New Roman" w:hint="eastAsia"/>
          <w:color w:val="333333"/>
          <w:shd w:val="clear" w:color="auto" w:fill="FFFFFF"/>
        </w:rPr>
      </w:pPr>
    </w:p>
    <w:p w14:paraId="33A25F2C" w14:textId="0E227A48" w:rsidR="007A3B71" w:rsidRDefault="007A3B71" w:rsidP="007A3B71">
      <w:pPr>
        <w:spacing w:afterLines="50" w:after="120"/>
        <w:rPr>
          <w:rFonts w:ascii="黑体" w:eastAsia="黑体" w:hAnsi="黑体" w:cs="Times New Roman" w:hint="eastAsia"/>
          <w:b/>
          <w:bCs/>
          <w:color w:val="000000" w:themeColor="text1"/>
          <w:sz w:val="28"/>
          <w:szCs w:val="28"/>
        </w:rPr>
      </w:pPr>
      <w:r w:rsidRPr="007A3B71">
        <w:rPr>
          <w:rFonts w:ascii="黑体" w:eastAsia="黑体" w:hAnsi="黑体" w:cs="Times New Roman"/>
          <w:b/>
          <w:bCs/>
          <w:color w:val="000000" w:themeColor="text1"/>
          <w:sz w:val="28"/>
          <w:szCs w:val="28"/>
        </w:rPr>
        <w:t>轻工制造行业：敏华控股披露2022财年上半年业绩情况，收入端增长靓丽</w:t>
      </w:r>
    </w:p>
    <w:p w14:paraId="7729EB4E" w14:textId="77777777" w:rsid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p>
    <w:p w14:paraId="5006B109" w14:textId="2BC2947E" w:rsid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事件：敏华控股披露</w:t>
      </w:r>
      <w:r w:rsidRPr="007A3B71">
        <w:rPr>
          <w:rFonts w:ascii="Times New Roman" w:eastAsia="楷体" w:hAnsi="Times New Roman" w:cs="Times New Roman"/>
          <w:color w:val="333333"/>
          <w:shd w:val="clear" w:color="auto" w:fill="FFFFFF"/>
        </w:rPr>
        <w:t>2022</w:t>
      </w:r>
      <w:r w:rsidRPr="007A3B71">
        <w:rPr>
          <w:rFonts w:ascii="Times New Roman" w:eastAsia="楷体" w:hAnsi="Times New Roman" w:cs="Times New Roman"/>
          <w:color w:val="333333"/>
          <w:shd w:val="clear" w:color="auto" w:fill="FFFFFF"/>
        </w:rPr>
        <w:t>财年上半年业绩情况，报告期内实现营业收入</w:t>
      </w:r>
      <w:r w:rsidRPr="007A3B71">
        <w:rPr>
          <w:rFonts w:ascii="Times New Roman" w:eastAsia="楷体" w:hAnsi="Times New Roman" w:cs="Times New Roman"/>
          <w:color w:val="333333"/>
          <w:shd w:val="clear" w:color="auto" w:fill="FFFFFF"/>
        </w:rPr>
        <w:t>102.15</w:t>
      </w:r>
      <w:r w:rsidRPr="007A3B71">
        <w:rPr>
          <w:rFonts w:ascii="Times New Roman" w:eastAsia="楷体" w:hAnsi="Times New Roman" w:cs="Times New Roman"/>
          <w:color w:val="333333"/>
          <w:shd w:val="clear" w:color="auto" w:fill="FFFFFF"/>
        </w:rPr>
        <w:t>亿港元，同比增长</w:t>
      </w:r>
      <w:r w:rsidRPr="007A3B71">
        <w:rPr>
          <w:rFonts w:ascii="Times New Roman" w:eastAsia="楷体" w:hAnsi="Times New Roman" w:cs="Times New Roman"/>
          <w:color w:val="333333"/>
          <w:shd w:val="clear" w:color="auto" w:fill="FFFFFF"/>
        </w:rPr>
        <w:t>53.9%</w:t>
      </w:r>
      <w:r w:rsidRPr="007A3B71">
        <w:rPr>
          <w:rFonts w:ascii="Times New Roman" w:eastAsia="楷体" w:hAnsi="Times New Roman" w:cs="Times New Roman"/>
          <w:color w:val="333333"/>
          <w:shd w:val="clear" w:color="auto" w:fill="FFFFFF"/>
        </w:rPr>
        <w:t>；实现归属于母公司净利润</w:t>
      </w:r>
      <w:r w:rsidRPr="007A3B71">
        <w:rPr>
          <w:rFonts w:ascii="Times New Roman" w:eastAsia="楷体" w:hAnsi="Times New Roman" w:cs="Times New Roman"/>
          <w:color w:val="333333"/>
          <w:shd w:val="clear" w:color="auto" w:fill="FFFFFF"/>
        </w:rPr>
        <w:t>9.88</w:t>
      </w:r>
      <w:r w:rsidRPr="007A3B71">
        <w:rPr>
          <w:rFonts w:ascii="Times New Roman" w:eastAsia="楷体" w:hAnsi="Times New Roman" w:cs="Times New Roman"/>
          <w:color w:val="333333"/>
          <w:shd w:val="clear" w:color="auto" w:fill="FFFFFF"/>
        </w:rPr>
        <w:t>亿港元，同比增长</w:t>
      </w:r>
      <w:r w:rsidRPr="007A3B71">
        <w:rPr>
          <w:rFonts w:ascii="Times New Roman" w:eastAsia="楷体" w:hAnsi="Times New Roman" w:cs="Times New Roman"/>
          <w:color w:val="333333"/>
          <w:shd w:val="clear" w:color="auto" w:fill="FFFFFF"/>
        </w:rPr>
        <w:t>31.9%</w:t>
      </w:r>
      <w:r w:rsidRPr="007A3B71">
        <w:rPr>
          <w:rFonts w:ascii="Times New Roman" w:eastAsia="楷体" w:hAnsi="Times New Roman" w:cs="Times New Roman"/>
          <w:color w:val="333333"/>
          <w:shd w:val="clear" w:color="auto" w:fill="FFFFFF"/>
        </w:rPr>
        <w:t>。每股基本盈利</w:t>
      </w:r>
      <w:r w:rsidRPr="007A3B71">
        <w:rPr>
          <w:rFonts w:ascii="Times New Roman" w:eastAsia="楷体" w:hAnsi="Times New Roman" w:cs="Times New Roman"/>
          <w:color w:val="333333"/>
          <w:shd w:val="clear" w:color="auto" w:fill="FFFFFF"/>
        </w:rPr>
        <w:t>24.96</w:t>
      </w:r>
      <w:r w:rsidRPr="007A3B71">
        <w:rPr>
          <w:rFonts w:ascii="Times New Roman" w:eastAsia="楷体" w:hAnsi="Times New Roman" w:cs="Times New Roman"/>
          <w:color w:val="333333"/>
          <w:shd w:val="clear" w:color="auto" w:fill="FFFFFF"/>
        </w:rPr>
        <w:t>港仙，拟派中期股息每股</w:t>
      </w:r>
      <w:r w:rsidRPr="007A3B71">
        <w:rPr>
          <w:rFonts w:ascii="Times New Roman" w:eastAsia="楷体" w:hAnsi="Times New Roman" w:cs="Times New Roman"/>
          <w:color w:val="333333"/>
          <w:shd w:val="clear" w:color="auto" w:fill="FFFFFF"/>
        </w:rPr>
        <w:t>13.0</w:t>
      </w:r>
      <w:r w:rsidRPr="007A3B71">
        <w:rPr>
          <w:rFonts w:ascii="Times New Roman" w:eastAsia="楷体" w:hAnsi="Times New Roman" w:cs="Times New Roman"/>
          <w:color w:val="333333"/>
          <w:shd w:val="clear" w:color="auto" w:fill="FFFFFF"/>
        </w:rPr>
        <w:t>港仙。</w:t>
      </w:r>
      <w:r w:rsidRPr="007A3B71">
        <w:rPr>
          <w:rFonts w:ascii="Times New Roman" w:eastAsia="楷体" w:hAnsi="Times New Roman" w:cs="Times New Roman"/>
          <w:color w:val="333333"/>
          <w:shd w:val="clear" w:color="auto" w:fill="FFFFFF"/>
        </w:rPr>
        <w:tab/>
      </w:r>
    </w:p>
    <w:p w14:paraId="661DE9B4" w14:textId="6D14BF95"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简评：公司收入端增长靓丽，业绩表现符合市场预期。公司收入端增长靓丽。分地区看，</w:t>
      </w:r>
      <w:r w:rsidRPr="007A3B71">
        <w:rPr>
          <w:rFonts w:ascii="Times New Roman" w:eastAsia="楷体" w:hAnsi="Times New Roman" w:cs="Times New Roman"/>
          <w:color w:val="333333"/>
          <w:shd w:val="clear" w:color="auto" w:fill="FFFFFF"/>
        </w:rPr>
        <w:t>2022</w:t>
      </w:r>
      <w:r w:rsidRPr="007A3B71">
        <w:rPr>
          <w:rFonts w:ascii="Times New Roman" w:eastAsia="楷体" w:hAnsi="Times New Roman" w:cs="Times New Roman"/>
          <w:color w:val="333333"/>
          <w:shd w:val="clear" w:color="auto" w:fill="FFFFFF"/>
        </w:rPr>
        <w:t>年上半财年，公司中国</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北美</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欧洲及其他海外市场分别实现营业收入</w:t>
      </w:r>
      <w:r w:rsidRPr="007A3B71">
        <w:rPr>
          <w:rFonts w:ascii="Times New Roman" w:eastAsia="楷体" w:hAnsi="Times New Roman" w:cs="Times New Roman"/>
          <w:color w:val="333333"/>
          <w:shd w:val="clear" w:color="auto" w:fill="FFFFFF"/>
        </w:rPr>
        <w:t>64.0/25.6/6.6</w:t>
      </w:r>
      <w:r w:rsidRPr="007A3B71">
        <w:rPr>
          <w:rFonts w:ascii="Times New Roman" w:eastAsia="楷体" w:hAnsi="Times New Roman" w:cs="Times New Roman"/>
          <w:color w:val="333333"/>
          <w:shd w:val="clear" w:color="auto" w:fill="FFFFFF"/>
        </w:rPr>
        <w:t>亿港元，分别同比</w:t>
      </w:r>
      <w:r w:rsidRPr="007A3B71">
        <w:rPr>
          <w:rFonts w:ascii="Times New Roman" w:eastAsia="楷体" w:hAnsi="Times New Roman" w:cs="Times New Roman"/>
          <w:color w:val="333333"/>
          <w:shd w:val="clear" w:color="auto" w:fill="FFFFFF"/>
        </w:rPr>
        <w:t>+52.6%/+60.5%/+89.4%</w:t>
      </w:r>
      <w:r w:rsidRPr="007A3B71">
        <w:rPr>
          <w:rFonts w:ascii="Times New Roman" w:eastAsia="楷体" w:hAnsi="Times New Roman" w:cs="Times New Roman"/>
          <w:color w:val="333333"/>
          <w:shd w:val="clear" w:color="auto" w:fill="FFFFFF"/>
        </w:rPr>
        <w:t>。中国市场分渠道看，线上</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线下渠道分别贡献营业收入</w:t>
      </w:r>
      <w:r w:rsidRPr="007A3B71">
        <w:rPr>
          <w:rFonts w:ascii="Times New Roman" w:eastAsia="楷体" w:hAnsi="Times New Roman" w:cs="Times New Roman"/>
          <w:color w:val="333333"/>
          <w:shd w:val="clear" w:color="auto" w:fill="FFFFFF"/>
        </w:rPr>
        <w:t>11.6/46.3</w:t>
      </w:r>
      <w:r w:rsidRPr="007A3B71">
        <w:rPr>
          <w:rFonts w:ascii="Times New Roman" w:eastAsia="楷体" w:hAnsi="Times New Roman" w:cs="Times New Roman"/>
          <w:color w:val="333333"/>
          <w:shd w:val="clear" w:color="auto" w:fill="FFFFFF"/>
        </w:rPr>
        <w:t>亿港元，分别同比</w:t>
      </w:r>
      <w:r w:rsidRPr="007A3B71">
        <w:rPr>
          <w:rFonts w:ascii="Times New Roman" w:eastAsia="楷体" w:hAnsi="Times New Roman" w:cs="Times New Roman"/>
          <w:color w:val="333333"/>
          <w:shd w:val="clear" w:color="auto" w:fill="FFFFFF"/>
        </w:rPr>
        <w:t>+26.6%/+60.7%</w:t>
      </w:r>
      <w:r w:rsidRPr="007A3B71">
        <w:rPr>
          <w:rFonts w:ascii="Times New Roman" w:eastAsia="楷体" w:hAnsi="Times New Roman" w:cs="Times New Roman"/>
          <w:color w:val="333333"/>
          <w:shd w:val="clear" w:color="auto" w:fill="FFFFFF"/>
        </w:rPr>
        <w:t>。中国市场分产品看，沙发</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床垫产品分别实现营业收入</w:t>
      </w:r>
      <w:r w:rsidRPr="007A3B71">
        <w:rPr>
          <w:rFonts w:ascii="Times New Roman" w:eastAsia="楷体" w:hAnsi="Times New Roman" w:cs="Times New Roman"/>
          <w:color w:val="333333"/>
          <w:shd w:val="clear" w:color="auto" w:fill="FFFFFF"/>
        </w:rPr>
        <w:t>43.3/14.7</w:t>
      </w:r>
      <w:r w:rsidRPr="007A3B71">
        <w:rPr>
          <w:rFonts w:ascii="Times New Roman" w:eastAsia="楷体" w:hAnsi="Times New Roman" w:cs="Times New Roman"/>
          <w:color w:val="333333"/>
          <w:shd w:val="clear" w:color="auto" w:fill="FFFFFF"/>
        </w:rPr>
        <w:t>亿港元，分别同比</w:t>
      </w:r>
      <w:r w:rsidRPr="007A3B71">
        <w:rPr>
          <w:rFonts w:ascii="Times New Roman" w:eastAsia="楷体" w:hAnsi="Times New Roman" w:cs="Times New Roman"/>
          <w:color w:val="333333"/>
          <w:shd w:val="clear" w:color="auto" w:fill="FFFFFF"/>
        </w:rPr>
        <w:t>+47.7%/+68.2%</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2022</w:t>
      </w:r>
      <w:r w:rsidRPr="007A3B71">
        <w:rPr>
          <w:rFonts w:ascii="Times New Roman" w:eastAsia="楷体" w:hAnsi="Times New Roman" w:cs="Times New Roman"/>
          <w:color w:val="333333"/>
          <w:shd w:val="clear" w:color="auto" w:fill="FFFFFF"/>
        </w:rPr>
        <w:t>上半财年整体经营表现符合市场预期。</w:t>
      </w:r>
    </w:p>
    <w:p w14:paraId="249B7FE0" w14:textId="77777777"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北美市场提价有效落地推动毛利率逆势提升，净利率略有下滑。</w:t>
      </w:r>
      <w:r w:rsidRPr="007A3B71">
        <w:rPr>
          <w:rFonts w:ascii="Times New Roman" w:eastAsia="楷体" w:hAnsi="Times New Roman" w:cs="Times New Roman"/>
          <w:color w:val="333333"/>
          <w:shd w:val="clear" w:color="auto" w:fill="FFFFFF"/>
        </w:rPr>
        <w:t>2022</w:t>
      </w:r>
      <w:r w:rsidRPr="007A3B71">
        <w:rPr>
          <w:rFonts w:ascii="Times New Roman" w:eastAsia="楷体" w:hAnsi="Times New Roman" w:cs="Times New Roman"/>
          <w:color w:val="333333"/>
          <w:shd w:val="clear" w:color="auto" w:fill="FFFFFF"/>
        </w:rPr>
        <w:t>财年上半年，集团整体毛利率水平为</w:t>
      </w:r>
      <w:r w:rsidRPr="007A3B71">
        <w:rPr>
          <w:rFonts w:ascii="Times New Roman" w:eastAsia="楷体" w:hAnsi="Times New Roman" w:cs="Times New Roman"/>
          <w:color w:val="333333"/>
          <w:shd w:val="clear" w:color="auto" w:fill="FFFFFF"/>
        </w:rPr>
        <w:t>36.2%</w:t>
      </w:r>
      <w:r w:rsidRPr="007A3B71">
        <w:rPr>
          <w:rFonts w:ascii="Times New Roman" w:eastAsia="楷体" w:hAnsi="Times New Roman" w:cs="Times New Roman"/>
          <w:color w:val="333333"/>
          <w:shd w:val="clear" w:color="auto" w:fill="FFFFFF"/>
        </w:rPr>
        <w:t>，同比增长</w:t>
      </w:r>
      <w:r w:rsidRPr="007A3B71">
        <w:rPr>
          <w:rFonts w:ascii="Times New Roman" w:eastAsia="楷体" w:hAnsi="Times New Roman" w:cs="Times New Roman"/>
          <w:color w:val="333333"/>
          <w:shd w:val="clear" w:color="auto" w:fill="FFFFFF"/>
        </w:rPr>
        <w:t>1.2pcpts</w:t>
      </w:r>
      <w:r w:rsidRPr="007A3B71">
        <w:rPr>
          <w:rFonts w:ascii="Times New Roman" w:eastAsia="楷体" w:hAnsi="Times New Roman" w:cs="Times New Roman"/>
          <w:color w:val="333333"/>
          <w:shd w:val="clear" w:color="auto" w:fill="FFFFFF"/>
        </w:rPr>
        <w:t>，具体分地区来看，中国</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北美</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欧洲及其他海外市场毛利率分别为</w:t>
      </w:r>
      <w:r w:rsidRPr="007A3B71">
        <w:rPr>
          <w:rFonts w:ascii="Times New Roman" w:eastAsia="楷体" w:hAnsi="Times New Roman" w:cs="Times New Roman"/>
          <w:color w:val="333333"/>
          <w:shd w:val="clear" w:color="auto" w:fill="FFFFFF"/>
        </w:rPr>
        <w:t>35.7%/41.1%/24.2%</w:t>
      </w:r>
      <w:r w:rsidRPr="007A3B71">
        <w:rPr>
          <w:rFonts w:ascii="Times New Roman" w:eastAsia="楷体" w:hAnsi="Times New Roman" w:cs="Times New Roman"/>
          <w:color w:val="333333"/>
          <w:shd w:val="clear" w:color="auto" w:fill="FFFFFF"/>
        </w:rPr>
        <w:t>，分别同比</w:t>
      </w:r>
      <w:r w:rsidRPr="007A3B71">
        <w:rPr>
          <w:rFonts w:ascii="Times New Roman" w:eastAsia="楷体" w:hAnsi="Times New Roman" w:cs="Times New Roman"/>
          <w:color w:val="333333"/>
          <w:shd w:val="clear" w:color="auto" w:fill="FFFFFF"/>
        </w:rPr>
        <w:t>-1.1/+9.1/+1.4pcpts</w:t>
      </w:r>
      <w:r w:rsidRPr="007A3B71">
        <w:rPr>
          <w:rFonts w:ascii="Times New Roman" w:eastAsia="楷体" w:hAnsi="Times New Roman" w:cs="Times New Roman"/>
          <w:color w:val="333333"/>
          <w:shd w:val="clear" w:color="auto" w:fill="FFFFFF"/>
        </w:rPr>
        <w:t>。其中北美市场主要受益于公司积极改善出货结构，并及时对产品进行调价应对原材料价格及海运成本上涨压力，使得毛利率同比大幅提升，也成为公司整体毛利率逆势增长的主要动因。净利率方面，</w:t>
      </w:r>
      <w:r w:rsidRPr="007A3B71">
        <w:rPr>
          <w:rFonts w:ascii="Times New Roman" w:eastAsia="楷体" w:hAnsi="Times New Roman" w:cs="Times New Roman"/>
          <w:color w:val="333333"/>
          <w:shd w:val="clear" w:color="auto" w:fill="FFFFFF"/>
        </w:rPr>
        <w:t>2022</w:t>
      </w:r>
      <w:r w:rsidRPr="007A3B71">
        <w:rPr>
          <w:rFonts w:ascii="Times New Roman" w:eastAsia="楷体" w:hAnsi="Times New Roman" w:cs="Times New Roman"/>
          <w:color w:val="333333"/>
          <w:shd w:val="clear" w:color="auto" w:fill="FFFFFF"/>
        </w:rPr>
        <w:t>上半财年公司整体净利率同比</w:t>
      </w:r>
      <w:r w:rsidRPr="007A3B71">
        <w:rPr>
          <w:rFonts w:ascii="Times New Roman" w:eastAsia="楷体" w:hAnsi="Times New Roman" w:cs="Times New Roman"/>
          <w:color w:val="333333"/>
          <w:shd w:val="clear" w:color="auto" w:fill="FFFFFF"/>
        </w:rPr>
        <w:t>-1.6pcpts</w:t>
      </w:r>
      <w:r w:rsidRPr="007A3B71">
        <w:rPr>
          <w:rFonts w:ascii="Times New Roman" w:eastAsia="楷体" w:hAnsi="Times New Roman" w:cs="Times New Roman"/>
          <w:color w:val="333333"/>
          <w:shd w:val="clear" w:color="auto" w:fill="FFFFFF"/>
        </w:rPr>
        <w:t>至</w:t>
      </w:r>
      <w:r w:rsidRPr="007A3B71">
        <w:rPr>
          <w:rFonts w:ascii="Times New Roman" w:eastAsia="楷体" w:hAnsi="Times New Roman" w:cs="Times New Roman"/>
          <w:color w:val="333333"/>
          <w:shd w:val="clear" w:color="auto" w:fill="FFFFFF"/>
        </w:rPr>
        <w:t>9.7%</w:t>
      </w:r>
      <w:r w:rsidRPr="007A3B71">
        <w:rPr>
          <w:rFonts w:ascii="Times New Roman" w:eastAsia="楷体" w:hAnsi="Times New Roman" w:cs="Times New Roman"/>
          <w:color w:val="333333"/>
          <w:shd w:val="clear" w:color="auto" w:fill="FFFFFF"/>
        </w:rPr>
        <w:t>。</w:t>
      </w:r>
    </w:p>
    <w:p w14:paraId="7C8573E9" w14:textId="77777777"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渠道稳步开拓，经营效率基本维持稳定。从渠道数量方面看，公司</w:t>
      </w:r>
      <w:r w:rsidRPr="007A3B71">
        <w:rPr>
          <w:rFonts w:ascii="Times New Roman" w:eastAsia="楷体" w:hAnsi="Times New Roman" w:cs="Times New Roman"/>
          <w:color w:val="333333"/>
          <w:shd w:val="clear" w:color="auto" w:fill="FFFFFF"/>
        </w:rPr>
        <w:t>2022</w:t>
      </w:r>
      <w:r w:rsidRPr="007A3B71">
        <w:rPr>
          <w:rFonts w:ascii="Times New Roman" w:eastAsia="楷体" w:hAnsi="Times New Roman" w:cs="Times New Roman"/>
          <w:color w:val="333333"/>
          <w:shd w:val="clear" w:color="auto" w:fill="FFFFFF"/>
        </w:rPr>
        <w:t>上半财年于中国市场净新增门店数量</w:t>
      </w:r>
      <w:r w:rsidRPr="007A3B71">
        <w:rPr>
          <w:rFonts w:ascii="Times New Roman" w:eastAsia="楷体" w:hAnsi="Times New Roman" w:cs="Times New Roman"/>
          <w:color w:val="333333"/>
          <w:shd w:val="clear" w:color="auto" w:fill="FFFFFF"/>
        </w:rPr>
        <w:t>1247</w:t>
      </w:r>
      <w:r w:rsidRPr="007A3B71">
        <w:rPr>
          <w:rFonts w:ascii="Times New Roman" w:eastAsia="楷体" w:hAnsi="Times New Roman" w:cs="Times New Roman"/>
          <w:color w:val="333333"/>
          <w:shd w:val="clear" w:color="auto" w:fill="FFFFFF"/>
        </w:rPr>
        <w:t>家，截至</w:t>
      </w:r>
      <w:r w:rsidRPr="007A3B71">
        <w:rPr>
          <w:rFonts w:ascii="Times New Roman" w:eastAsia="楷体" w:hAnsi="Times New Roman" w:cs="Times New Roman"/>
          <w:color w:val="333333"/>
          <w:shd w:val="clear" w:color="auto" w:fill="FFFFFF"/>
        </w:rPr>
        <w:t>2021</w:t>
      </w:r>
      <w:r w:rsidRPr="007A3B71">
        <w:rPr>
          <w:rFonts w:ascii="Times New Roman" w:eastAsia="楷体" w:hAnsi="Times New Roman" w:cs="Times New Roman"/>
          <w:color w:val="333333"/>
          <w:shd w:val="clear" w:color="auto" w:fill="FFFFFF"/>
        </w:rPr>
        <w:t>年</w:t>
      </w:r>
      <w:r w:rsidRPr="007A3B71">
        <w:rPr>
          <w:rFonts w:ascii="Times New Roman" w:eastAsia="楷体" w:hAnsi="Times New Roman" w:cs="Times New Roman"/>
          <w:color w:val="333333"/>
          <w:shd w:val="clear" w:color="auto" w:fill="FFFFFF"/>
        </w:rPr>
        <w:t>9</w:t>
      </w:r>
      <w:r w:rsidRPr="007A3B71">
        <w:rPr>
          <w:rFonts w:ascii="Times New Roman" w:eastAsia="楷体" w:hAnsi="Times New Roman" w:cs="Times New Roman"/>
          <w:color w:val="333333"/>
          <w:shd w:val="clear" w:color="auto" w:fill="FFFFFF"/>
        </w:rPr>
        <w:t>月</w:t>
      </w:r>
      <w:r w:rsidRPr="007A3B71">
        <w:rPr>
          <w:rFonts w:ascii="Times New Roman" w:eastAsia="楷体" w:hAnsi="Times New Roman" w:cs="Times New Roman"/>
          <w:color w:val="333333"/>
          <w:shd w:val="clear" w:color="auto" w:fill="FFFFFF"/>
        </w:rPr>
        <w:t>30</w:t>
      </w:r>
      <w:r w:rsidRPr="007A3B71">
        <w:rPr>
          <w:rFonts w:ascii="Times New Roman" w:eastAsia="楷体" w:hAnsi="Times New Roman" w:cs="Times New Roman"/>
          <w:color w:val="333333"/>
          <w:shd w:val="clear" w:color="auto" w:fill="FFFFFF"/>
        </w:rPr>
        <w:t>日，公司共拥有线下门店数量</w:t>
      </w:r>
      <w:r w:rsidRPr="007A3B71">
        <w:rPr>
          <w:rFonts w:ascii="Times New Roman" w:eastAsia="楷体" w:hAnsi="Times New Roman" w:cs="Times New Roman"/>
          <w:color w:val="333333"/>
          <w:shd w:val="clear" w:color="auto" w:fill="FFFFFF"/>
        </w:rPr>
        <w:t>5369</w:t>
      </w:r>
      <w:r w:rsidRPr="007A3B71">
        <w:rPr>
          <w:rFonts w:ascii="Times New Roman" w:eastAsia="楷体" w:hAnsi="Times New Roman" w:cs="Times New Roman"/>
          <w:color w:val="333333"/>
          <w:shd w:val="clear" w:color="auto" w:fill="FFFFFF"/>
        </w:rPr>
        <w:t>家门店（不含格调、普丽尼），线下渠道优势进一步巩固。经营效率方面，上半财年公司存货周转天数</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应收账款周转天数</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应付账款周转天数分别较去年同期</w:t>
      </w:r>
      <w:r w:rsidRPr="007A3B71">
        <w:rPr>
          <w:rFonts w:ascii="Times New Roman" w:eastAsia="楷体" w:hAnsi="Times New Roman" w:cs="Times New Roman"/>
          <w:color w:val="333333"/>
          <w:shd w:val="clear" w:color="auto" w:fill="FFFFFF"/>
        </w:rPr>
        <w:t>+1/-2/-7</w:t>
      </w:r>
      <w:r w:rsidRPr="007A3B71">
        <w:rPr>
          <w:rFonts w:ascii="Times New Roman" w:eastAsia="楷体" w:hAnsi="Times New Roman" w:cs="Times New Roman"/>
          <w:color w:val="333333"/>
          <w:shd w:val="clear" w:color="auto" w:fill="FFFFFF"/>
        </w:rPr>
        <w:t>天至</w:t>
      </w:r>
      <w:r w:rsidRPr="007A3B71">
        <w:rPr>
          <w:rFonts w:ascii="Times New Roman" w:eastAsia="楷体" w:hAnsi="Times New Roman" w:cs="Times New Roman"/>
          <w:color w:val="333333"/>
          <w:shd w:val="clear" w:color="auto" w:fill="FFFFFF"/>
        </w:rPr>
        <w:t>62/30/27</w:t>
      </w:r>
      <w:r w:rsidRPr="007A3B71">
        <w:rPr>
          <w:rFonts w:ascii="Times New Roman" w:eastAsia="楷体" w:hAnsi="Times New Roman" w:cs="Times New Roman"/>
          <w:color w:val="333333"/>
          <w:shd w:val="clear" w:color="auto" w:fill="FFFFFF"/>
        </w:rPr>
        <w:t>天，经营效率基本维持稳定。</w:t>
      </w:r>
    </w:p>
    <w:p w14:paraId="26BCB30C" w14:textId="77777777" w:rsidR="007A3B71" w:rsidRPr="007A3B71" w:rsidRDefault="007A3B71" w:rsidP="007A3B71">
      <w:pPr>
        <w:spacing w:afterLines="50" w:after="120"/>
        <w:rPr>
          <w:rFonts w:ascii="Times New Roman" w:eastAsia="楷体" w:hAnsi="Times New Roman" w:cs="Times New Roman"/>
          <w:color w:val="333333"/>
          <w:shd w:val="clear" w:color="auto" w:fill="FFFFFF"/>
        </w:rPr>
      </w:pPr>
    </w:p>
    <w:p w14:paraId="4205194F" w14:textId="4651A543" w:rsidR="00436EF7" w:rsidRDefault="007A3B71" w:rsidP="007A3B71">
      <w:pPr>
        <w:spacing w:afterLines="50" w:after="1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w:t>
      </w:r>
      <w:r>
        <w:rPr>
          <w:rFonts w:ascii="Times New Roman" w:eastAsia="楷体" w:hAnsi="Times New Roman" w:cs="Times New Roman" w:hint="eastAsia"/>
          <w:color w:val="333333"/>
          <w:shd w:val="clear" w:color="auto" w:fill="FFFFFF"/>
        </w:rPr>
        <w:t>分析师</w:t>
      </w:r>
      <w:r w:rsidRPr="007A3B71">
        <w:rPr>
          <w:rFonts w:ascii="Times New Roman" w:eastAsia="楷体" w:hAnsi="Times New Roman" w:cs="Times New Roman"/>
          <w:color w:val="333333"/>
          <w:shd w:val="clear" w:color="auto" w:fill="FFFFFF"/>
        </w:rPr>
        <w:t>：陈梦，执业证书编号：</w:t>
      </w:r>
      <w:r w:rsidRPr="007A3B71">
        <w:rPr>
          <w:rFonts w:ascii="Times New Roman" w:eastAsia="楷体" w:hAnsi="Times New Roman" w:cs="Times New Roman"/>
          <w:color w:val="333333"/>
          <w:shd w:val="clear" w:color="auto" w:fill="FFFFFF"/>
        </w:rPr>
        <w:t>S0110521070002</w:t>
      </w:r>
      <w:r w:rsidRPr="007A3B71">
        <w:rPr>
          <w:rFonts w:ascii="Times New Roman" w:eastAsia="楷体" w:hAnsi="Times New Roman" w:cs="Times New Roman"/>
          <w:color w:val="333333"/>
          <w:shd w:val="clear" w:color="auto" w:fill="FFFFFF"/>
        </w:rPr>
        <w:t>）</w:t>
      </w:r>
    </w:p>
    <w:p w14:paraId="453DDF85" w14:textId="71B4C588" w:rsidR="007A3B71" w:rsidRDefault="007A3B71" w:rsidP="007A3B71">
      <w:pPr>
        <w:spacing w:afterLines="50" w:after="120"/>
        <w:rPr>
          <w:rFonts w:ascii="Times New Roman" w:eastAsia="楷体" w:hAnsi="Times New Roman" w:cs="Times New Roman"/>
          <w:color w:val="333333"/>
          <w:shd w:val="clear" w:color="auto" w:fill="FFFFFF"/>
        </w:rPr>
      </w:pPr>
    </w:p>
    <w:p w14:paraId="3F0AF8E7" w14:textId="22FB918F" w:rsidR="007A3B71" w:rsidRDefault="007A3B71" w:rsidP="007A3B71">
      <w:pPr>
        <w:spacing w:afterLines="50" w:after="120"/>
        <w:rPr>
          <w:rFonts w:ascii="Times New Roman" w:eastAsia="楷体" w:hAnsi="Times New Roman" w:cs="Times New Roman"/>
          <w:color w:val="333333"/>
          <w:shd w:val="clear" w:color="auto" w:fill="FFFFFF"/>
        </w:rPr>
      </w:pPr>
    </w:p>
    <w:p w14:paraId="280BD40C" w14:textId="77777777" w:rsidR="007A3B71" w:rsidRDefault="007A3B71" w:rsidP="007A3B71">
      <w:pPr>
        <w:spacing w:afterLines="50" w:after="120"/>
        <w:rPr>
          <w:rFonts w:ascii="Times New Roman" w:eastAsia="楷体" w:hAnsi="Times New Roman" w:cs="Times New Roman" w:hint="eastAsia"/>
          <w:color w:val="333333"/>
          <w:shd w:val="clear" w:color="auto" w:fill="FFFFFF"/>
        </w:rPr>
      </w:pPr>
    </w:p>
    <w:p w14:paraId="47ECE3AF" w14:textId="77777777" w:rsidR="007A3B71" w:rsidRDefault="007A3B71" w:rsidP="007A3B71">
      <w:pPr>
        <w:spacing w:afterLines="50" w:after="120"/>
        <w:rPr>
          <w:rFonts w:ascii="Times New Roman" w:eastAsia="楷体" w:hAnsi="Times New Roman" w:cs="Times New Roman" w:hint="eastAsia"/>
          <w:color w:val="333333"/>
          <w:shd w:val="clear" w:color="auto" w:fill="FFFFFF"/>
        </w:rPr>
      </w:pPr>
    </w:p>
    <w:tbl>
      <w:tblPr>
        <w:tblStyle w:val="ac"/>
        <w:tblW w:w="0" w:type="auto"/>
        <w:tblBorders>
          <w:top w:val="single" w:sz="8" w:space="0" w:color="D50000"/>
          <w:left w:val="none" w:sz="0" w:space="0" w:color="auto"/>
          <w:bottom w:val="single" w:sz="8" w:space="0" w:color="D50000"/>
          <w:right w:val="none" w:sz="0" w:space="0" w:color="auto"/>
          <w:insideH w:val="none" w:sz="0" w:space="0" w:color="auto"/>
          <w:insideV w:val="none" w:sz="0" w:space="0" w:color="auto"/>
        </w:tblBorders>
        <w:shd w:val="clear" w:color="auto" w:fill="D50000"/>
        <w:tblLook w:val="04A0" w:firstRow="1" w:lastRow="0" w:firstColumn="1" w:lastColumn="0" w:noHBand="0" w:noVBand="1"/>
      </w:tblPr>
      <w:tblGrid>
        <w:gridCol w:w="10194"/>
      </w:tblGrid>
      <w:tr w:rsidR="00037E01" w14:paraId="58BE6516" w14:textId="77777777">
        <w:tc>
          <w:tcPr>
            <w:tcW w:w="10194" w:type="dxa"/>
            <w:shd w:val="clear" w:color="auto" w:fill="D50000"/>
          </w:tcPr>
          <w:p w14:paraId="4518854B" w14:textId="77777777" w:rsidR="00037E01" w:rsidRDefault="00204A8E">
            <w:pPr>
              <w:jc w:val="center"/>
              <w:rPr>
                <w:sz w:val="30"/>
                <w:szCs w:val="30"/>
              </w:rPr>
            </w:pPr>
            <w:r>
              <w:rPr>
                <w:rFonts w:ascii="黑体" w:eastAsia="黑体" w:hAnsi="黑体" w:cs="Times New Roman" w:hint="eastAsia"/>
                <w:b/>
                <w:bCs/>
                <w:color w:val="FFFFFF" w:themeColor="background1"/>
                <w:sz w:val="30"/>
                <w:szCs w:val="30"/>
              </w:rPr>
              <w:lastRenderedPageBreak/>
              <w:t>主要报告推荐</w:t>
            </w:r>
          </w:p>
        </w:tc>
      </w:tr>
    </w:tbl>
    <w:p w14:paraId="40127C37" w14:textId="77777777" w:rsidR="003022D2" w:rsidRDefault="003022D2" w:rsidP="003022D2">
      <w:pPr>
        <w:spacing w:afterLines="50" w:after="120"/>
        <w:ind w:firstLineChars="200" w:firstLine="562"/>
        <w:jc w:val="center"/>
        <w:rPr>
          <w:rFonts w:ascii="黑体" w:eastAsia="黑体" w:hAnsi="黑体" w:cs="Times New Roman"/>
          <w:b/>
          <w:bCs/>
          <w:color w:val="000000" w:themeColor="text1"/>
          <w:sz w:val="28"/>
          <w:szCs w:val="28"/>
        </w:rPr>
      </w:pPr>
    </w:p>
    <w:p w14:paraId="1DB1E2FC" w14:textId="2AEA9418" w:rsidR="003022D2" w:rsidRPr="007A3B71" w:rsidRDefault="007A3B71" w:rsidP="003022D2">
      <w:pPr>
        <w:spacing w:afterLines="50" w:after="120"/>
        <w:ind w:firstLineChars="200" w:firstLine="562"/>
        <w:jc w:val="center"/>
        <w:rPr>
          <w:rFonts w:ascii="黑体" w:eastAsia="黑体" w:hAnsi="黑体" w:cs="Times New Roman"/>
          <w:b/>
          <w:bCs/>
          <w:color w:val="000000" w:themeColor="text1"/>
          <w:sz w:val="28"/>
          <w:szCs w:val="28"/>
        </w:rPr>
      </w:pPr>
      <w:r w:rsidRPr="007A3B71">
        <w:rPr>
          <w:rFonts w:ascii="黑体" w:eastAsia="黑体" w:hAnsi="黑体" w:cs="Times New Roman"/>
          <w:b/>
          <w:bCs/>
          <w:color w:val="000000" w:themeColor="text1"/>
          <w:sz w:val="28"/>
          <w:szCs w:val="28"/>
        </w:rPr>
        <w:t>手机拖累Q3业绩，看好国内及欧美客户共同发力</w:t>
      </w:r>
    </w:p>
    <w:p w14:paraId="4C5D9D4F" w14:textId="79FB4DC6" w:rsidR="003022D2" w:rsidRDefault="003022D2" w:rsidP="003022D2">
      <w:pPr>
        <w:spacing w:afterLines="50" w:after="120"/>
        <w:ind w:firstLineChars="200" w:firstLine="562"/>
        <w:jc w:val="right"/>
        <w:rPr>
          <w:rFonts w:ascii="黑体" w:eastAsia="黑体" w:hAnsi="黑体" w:cs="Times New Roman"/>
          <w:b/>
          <w:bCs/>
          <w:color w:val="000000" w:themeColor="text1"/>
          <w:sz w:val="28"/>
          <w:szCs w:val="28"/>
        </w:rPr>
      </w:pPr>
      <w:r>
        <w:rPr>
          <w:rFonts w:ascii="黑体" w:eastAsia="黑体" w:hAnsi="黑体" w:cs="Times New Roman"/>
          <w:b/>
          <w:bCs/>
          <w:color w:val="000000" w:themeColor="text1"/>
          <w:sz w:val="28"/>
          <w:szCs w:val="28"/>
        </w:rPr>
        <w:t>——</w:t>
      </w:r>
      <w:r w:rsidR="007A3B71" w:rsidRPr="007A3B71">
        <w:rPr>
          <w:rFonts w:ascii="黑体" w:eastAsia="黑体" w:hAnsi="黑体" w:cs="Times New Roman"/>
          <w:b/>
          <w:bCs/>
          <w:color w:val="000000" w:themeColor="text1"/>
          <w:sz w:val="28"/>
          <w:szCs w:val="28"/>
        </w:rPr>
        <w:t>信濠光电（301051）</w:t>
      </w:r>
      <w:r w:rsidR="007A3B71">
        <w:rPr>
          <w:rFonts w:ascii="黑体" w:eastAsia="黑体" w:hAnsi="黑体" w:cs="Times New Roman" w:hint="eastAsia"/>
          <w:b/>
          <w:bCs/>
          <w:color w:val="000000" w:themeColor="text1"/>
          <w:sz w:val="28"/>
          <w:szCs w:val="28"/>
        </w:rPr>
        <w:t>公司简评</w:t>
      </w:r>
      <w:r w:rsidRPr="003022D2">
        <w:rPr>
          <w:rFonts w:ascii="黑体" w:eastAsia="黑体" w:hAnsi="黑体" w:cs="Times New Roman"/>
          <w:b/>
          <w:bCs/>
          <w:color w:val="000000" w:themeColor="text1"/>
          <w:sz w:val="28"/>
          <w:szCs w:val="28"/>
        </w:rPr>
        <w:t>报告</w:t>
      </w:r>
    </w:p>
    <w:p w14:paraId="221B3131" w14:textId="2A2F1BC4"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事件：公司发布</w:t>
      </w:r>
      <w:r w:rsidRPr="007A3B71">
        <w:rPr>
          <w:rFonts w:ascii="Times New Roman" w:eastAsia="楷体" w:hAnsi="Times New Roman" w:cs="Times New Roman"/>
          <w:color w:val="333333"/>
          <w:shd w:val="clear" w:color="auto" w:fill="FFFFFF"/>
        </w:rPr>
        <w:t>2021</w:t>
      </w:r>
      <w:r w:rsidRPr="007A3B71">
        <w:rPr>
          <w:rFonts w:ascii="Times New Roman" w:eastAsia="楷体" w:hAnsi="Times New Roman" w:cs="Times New Roman"/>
          <w:color w:val="333333"/>
          <w:shd w:val="clear" w:color="auto" w:fill="FFFFFF"/>
        </w:rPr>
        <w:t>年三季报。</w:t>
      </w:r>
    </w:p>
    <w:p w14:paraId="50C6310B" w14:textId="2D0EC1D7"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点评：安卓手机出货量表现欠佳，公司</w:t>
      </w:r>
      <w:r w:rsidRPr="007A3B71">
        <w:rPr>
          <w:rFonts w:ascii="Times New Roman" w:eastAsia="楷体" w:hAnsi="Times New Roman" w:cs="Times New Roman"/>
          <w:color w:val="333333"/>
          <w:shd w:val="clear" w:color="auto" w:fill="FFFFFF"/>
        </w:rPr>
        <w:t>Q3</w:t>
      </w:r>
      <w:r w:rsidRPr="007A3B71">
        <w:rPr>
          <w:rFonts w:ascii="Times New Roman" w:eastAsia="楷体" w:hAnsi="Times New Roman" w:cs="Times New Roman"/>
          <w:color w:val="333333"/>
          <w:shd w:val="clear" w:color="auto" w:fill="FFFFFF"/>
        </w:rPr>
        <w:t>业绩不及预期。</w:t>
      </w:r>
      <w:r w:rsidRPr="007A3B71">
        <w:rPr>
          <w:rFonts w:ascii="Times New Roman" w:eastAsia="楷体" w:hAnsi="Times New Roman" w:cs="Times New Roman"/>
          <w:color w:val="333333"/>
          <w:shd w:val="clear" w:color="auto" w:fill="FFFFFF"/>
        </w:rPr>
        <w:t>2021</w:t>
      </w:r>
      <w:r w:rsidRPr="007A3B71">
        <w:rPr>
          <w:rFonts w:ascii="Times New Roman" w:eastAsia="楷体" w:hAnsi="Times New Roman" w:cs="Times New Roman"/>
          <w:color w:val="333333"/>
          <w:shd w:val="clear" w:color="auto" w:fill="FFFFFF"/>
        </w:rPr>
        <w:t>年</w:t>
      </w:r>
      <w:r w:rsidRPr="007A3B71">
        <w:rPr>
          <w:rFonts w:ascii="Times New Roman" w:eastAsia="楷体" w:hAnsi="Times New Roman" w:cs="Times New Roman"/>
          <w:color w:val="333333"/>
          <w:shd w:val="clear" w:color="auto" w:fill="FFFFFF"/>
        </w:rPr>
        <w:t>1-9</w:t>
      </w:r>
      <w:r w:rsidRPr="007A3B71">
        <w:rPr>
          <w:rFonts w:ascii="Times New Roman" w:eastAsia="楷体" w:hAnsi="Times New Roman" w:cs="Times New Roman"/>
          <w:color w:val="333333"/>
          <w:shd w:val="clear" w:color="auto" w:fill="FFFFFF"/>
        </w:rPr>
        <w:t>月公司实现收入</w:t>
      </w:r>
      <w:r w:rsidRPr="007A3B71">
        <w:rPr>
          <w:rFonts w:ascii="Times New Roman" w:eastAsia="楷体" w:hAnsi="Times New Roman" w:cs="Times New Roman"/>
          <w:color w:val="333333"/>
          <w:shd w:val="clear" w:color="auto" w:fill="FFFFFF"/>
        </w:rPr>
        <w:t>13.73</w:t>
      </w:r>
      <w:r w:rsidRPr="007A3B71">
        <w:rPr>
          <w:rFonts w:ascii="Times New Roman" w:eastAsia="楷体" w:hAnsi="Times New Roman" w:cs="Times New Roman"/>
          <w:color w:val="333333"/>
          <w:shd w:val="clear" w:color="auto" w:fill="FFFFFF"/>
        </w:rPr>
        <w:t>亿元，同比</w:t>
      </w:r>
      <w:r w:rsidRPr="007A3B71">
        <w:rPr>
          <w:rFonts w:ascii="Times New Roman" w:eastAsia="楷体" w:hAnsi="Times New Roman" w:cs="Times New Roman"/>
          <w:color w:val="333333"/>
          <w:shd w:val="clear" w:color="auto" w:fill="FFFFFF"/>
        </w:rPr>
        <w:t>+50.54%</w:t>
      </w:r>
      <w:r w:rsidRPr="007A3B71">
        <w:rPr>
          <w:rFonts w:ascii="Times New Roman" w:eastAsia="楷体" w:hAnsi="Times New Roman" w:cs="Times New Roman"/>
          <w:color w:val="333333"/>
          <w:shd w:val="clear" w:color="auto" w:fill="FFFFFF"/>
        </w:rPr>
        <w:t>；归母净利润</w:t>
      </w:r>
      <w:r w:rsidRPr="007A3B71">
        <w:rPr>
          <w:rFonts w:ascii="Times New Roman" w:eastAsia="楷体" w:hAnsi="Times New Roman" w:cs="Times New Roman"/>
          <w:color w:val="333333"/>
          <w:shd w:val="clear" w:color="auto" w:fill="FFFFFF"/>
        </w:rPr>
        <w:t>1.48</w:t>
      </w:r>
      <w:r w:rsidRPr="007A3B71">
        <w:rPr>
          <w:rFonts w:ascii="Times New Roman" w:eastAsia="楷体" w:hAnsi="Times New Roman" w:cs="Times New Roman"/>
          <w:color w:val="333333"/>
          <w:shd w:val="clear" w:color="auto" w:fill="FFFFFF"/>
        </w:rPr>
        <w:t>亿元，同比</w:t>
      </w:r>
      <w:r w:rsidRPr="007A3B71">
        <w:rPr>
          <w:rFonts w:ascii="Times New Roman" w:eastAsia="楷体" w:hAnsi="Times New Roman" w:cs="Times New Roman"/>
          <w:color w:val="333333"/>
          <w:shd w:val="clear" w:color="auto" w:fill="FFFFFF"/>
        </w:rPr>
        <w:t>-4.49%</w:t>
      </w:r>
      <w:r w:rsidRPr="007A3B71">
        <w:rPr>
          <w:rFonts w:ascii="Times New Roman" w:eastAsia="楷体" w:hAnsi="Times New Roman" w:cs="Times New Roman"/>
          <w:color w:val="333333"/>
          <w:shd w:val="clear" w:color="auto" w:fill="FFFFFF"/>
        </w:rPr>
        <w:t>。公司收入位于招股书业绩指引下限，利润低于业绩指引。</w:t>
      </w:r>
      <w:r w:rsidRPr="007A3B71">
        <w:rPr>
          <w:rFonts w:ascii="Times New Roman" w:eastAsia="楷体" w:hAnsi="Times New Roman" w:cs="Times New Roman"/>
          <w:color w:val="333333"/>
          <w:shd w:val="clear" w:color="auto" w:fill="FFFFFF"/>
        </w:rPr>
        <w:t>2021Q3</w:t>
      </w:r>
      <w:r w:rsidRPr="007A3B71">
        <w:rPr>
          <w:rFonts w:ascii="Times New Roman" w:eastAsia="楷体" w:hAnsi="Times New Roman" w:cs="Times New Roman"/>
          <w:color w:val="333333"/>
          <w:shd w:val="clear" w:color="auto" w:fill="FFFFFF"/>
        </w:rPr>
        <w:t>单季收入</w:t>
      </w:r>
      <w:r w:rsidRPr="007A3B71">
        <w:rPr>
          <w:rFonts w:ascii="Times New Roman" w:eastAsia="楷体" w:hAnsi="Times New Roman" w:cs="Times New Roman"/>
          <w:color w:val="333333"/>
          <w:shd w:val="clear" w:color="auto" w:fill="FFFFFF"/>
        </w:rPr>
        <w:t>4.19</w:t>
      </w:r>
      <w:r w:rsidRPr="007A3B71">
        <w:rPr>
          <w:rFonts w:ascii="Times New Roman" w:eastAsia="楷体" w:hAnsi="Times New Roman" w:cs="Times New Roman"/>
          <w:color w:val="333333"/>
          <w:shd w:val="clear" w:color="auto" w:fill="FFFFFF"/>
        </w:rPr>
        <w:t>亿元，同比</w:t>
      </w:r>
      <w:r w:rsidRPr="007A3B71">
        <w:rPr>
          <w:rFonts w:ascii="Times New Roman" w:eastAsia="楷体" w:hAnsi="Times New Roman" w:cs="Times New Roman"/>
          <w:color w:val="333333"/>
          <w:shd w:val="clear" w:color="auto" w:fill="FFFFFF"/>
        </w:rPr>
        <w:t>+22.00%</w:t>
      </w:r>
      <w:r w:rsidRPr="007A3B71">
        <w:rPr>
          <w:rFonts w:ascii="Times New Roman" w:eastAsia="楷体" w:hAnsi="Times New Roman" w:cs="Times New Roman"/>
          <w:color w:val="333333"/>
          <w:shd w:val="clear" w:color="auto" w:fill="FFFFFF"/>
        </w:rPr>
        <w:t>；归母净利润</w:t>
      </w:r>
      <w:r w:rsidRPr="007A3B71">
        <w:rPr>
          <w:rFonts w:ascii="Times New Roman" w:eastAsia="楷体" w:hAnsi="Times New Roman" w:cs="Times New Roman"/>
          <w:color w:val="333333"/>
          <w:shd w:val="clear" w:color="auto" w:fill="FFFFFF"/>
        </w:rPr>
        <w:t>0.32</w:t>
      </w:r>
      <w:r w:rsidRPr="007A3B71">
        <w:rPr>
          <w:rFonts w:ascii="Times New Roman" w:eastAsia="楷体" w:hAnsi="Times New Roman" w:cs="Times New Roman"/>
          <w:color w:val="333333"/>
          <w:shd w:val="clear" w:color="auto" w:fill="FFFFFF"/>
        </w:rPr>
        <w:t>亿元，同比</w:t>
      </w:r>
      <w:r w:rsidRPr="007A3B71">
        <w:rPr>
          <w:rFonts w:ascii="Times New Roman" w:eastAsia="楷体" w:hAnsi="Times New Roman" w:cs="Times New Roman"/>
          <w:color w:val="333333"/>
          <w:shd w:val="clear" w:color="auto" w:fill="FFFFFF"/>
        </w:rPr>
        <w:t>-35.82%</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2021</w:t>
      </w:r>
      <w:r w:rsidRPr="007A3B71">
        <w:rPr>
          <w:rFonts w:ascii="Times New Roman" w:eastAsia="楷体" w:hAnsi="Times New Roman" w:cs="Times New Roman"/>
          <w:color w:val="333333"/>
          <w:shd w:val="clear" w:color="auto" w:fill="FFFFFF"/>
        </w:rPr>
        <w:t>年国产手机出货量表现欠佳，受限电等因素影响，公司利润不及预期。</w:t>
      </w:r>
    </w:p>
    <w:p w14:paraId="61E98CDD" w14:textId="6C48ECB1"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公司主营玻璃防护屏，终端客户为国内知名手机品牌厂商。产品广泛应用于智能手机、平板电脑、智能手表等新一代信息终端。客户主要包括深天马、三星显示、华星光电、京东方、日本显示和信利光电等大型光电子器件制造商，产品最终应用于华为、</w:t>
      </w:r>
      <w:r w:rsidRPr="007A3B71">
        <w:rPr>
          <w:rFonts w:ascii="Times New Roman" w:eastAsia="楷体" w:hAnsi="Times New Roman" w:cs="Times New Roman"/>
          <w:color w:val="333333"/>
          <w:shd w:val="clear" w:color="auto" w:fill="FFFFFF"/>
        </w:rPr>
        <w:t>vivo</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OPPO</w:t>
      </w:r>
      <w:r w:rsidRPr="007A3B71">
        <w:rPr>
          <w:rFonts w:ascii="Times New Roman" w:eastAsia="楷体" w:hAnsi="Times New Roman" w:cs="Times New Roman"/>
          <w:color w:val="333333"/>
          <w:shd w:val="clear" w:color="auto" w:fill="FFFFFF"/>
        </w:rPr>
        <w:t>、小米、三星等国内外知名品牌移动终端。</w:t>
      </w:r>
    </w:p>
    <w:p w14:paraId="0F3B56B2" w14:textId="44AD2EDF"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收购东莞骏达，有望助公司提升在京东方的市场份额。</w:t>
      </w:r>
      <w:r w:rsidRPr="007A3B71">
        <w:rPr>
          <w:rFonts w:ascii="Times New Roman" w:eastAsia="楷体" w:hAnsi="Times New Roman" w:cs="Times New Roman"/>
          <w:color w:val="333333"/>
          <w:shd w:val="clear" w:color="auto" w:fill="FFFFFF"/>
        </w:rPr>
        <w:t>2021</w:t>
      </w:r>
      <w:r w:rsidRPr="007A3B71">
        <w:rPr>
          <w:rFonts w:ascii="Times New Roman" w:eastAsia="楷体" w:hAnsi="Times New Roman" w:cs="Times New Roman"/>
          <w:color w:val="333333"/>
          <w:shd w:val="clear" w:color="auto" w:fill="FFFFFF"/>
        </w:rPr>
        <w:t>年</w:t>
      </w:r>
      <w:r w:rsidRPr="007A3B71">
        <w:rPr>
          <w:rFonts w:ascii="Times New Roman" w:eastAsia="楷体" w:hAnsi="Times New Roman" w:cs="Times New Roman"/>
          <w:color w:val="333333"/>
          <w:shd w:val="clear" w:color="auto" w:fill="FFFFFF"/>
        </w:rPr>
        <w:t>9</w:t>
      </w:r>
      <w:r w:rsidRPr="007A3B71">
        <w:rPr>
          <w:rFonts w:ascii="Times New Roman" w:eastAsia="楷体" w:hAnsi="Times New Roman" w:cs="Times New Roman"/>
          <w:color w:val="333333"/>
          <w:shd w:val="clear" w:color="auto" w:fill="FFFFFF"/>
        </w:rPr>
        <w:t>月公司以</w:t>
      </w:r>
      <w:r w:rsidRPr="007A3B71">
        <w:rPr>
          <w:rFonts w:ascii="Times New Roman" w:eastAsia="楷体" w:hAnsi="Times New Roman" w:cs="Times New Roman"/>
          <w:color w:val="333333"/>
          <w:shd w:val="clear" w:color="auto" w:fill="FFFFFF"/>
        </w:rPr>
        <w:t>2.73</w:t>
      </w:r>
      <w:r w:rsidRPr="007A3B71">
        <w:rPr>
          <w:rFonts w:ascii="Times New Roman" w:eastAsia="楷体" w:hAnsi="Times New Roman" w:cs="Times New Roman"/>
          <w:color w:val="333333"/>
          <w:shd w:val="clear" w:color="auto" w:fill="FFFFFF"/>
        </w:rPr>
        <w:t>亿元收购东莞骏达</w:t>
      </w:r>
      <w:r w:rsidRPr="007A3B71">
        <w:rPr>
          <w:rFonts w:ascii="Times New Roman" w:eastAsia="楷体" w:hAnsi="Times New Roman" w:cs="Times New Roman"/>
          <w:color w:val="333333"/>
          <w:shd w:val="clear" w:color="auto" w:fill="FFFFFF"/>
        </w:rPr>
        <w:t>46.75%</w:t>
      </w:r>
      <w:r w:rsidRPr="007A3B71">
        <w:rPr>
          <w:rFonts w:ascii="Times New Roman" w:eastAsia="楷体" w:hAnsi="Times New Roman" w:cs="Times New Roman"/>
          <w:color w:val="333333"/>
          <w:shd w:val="clear" w:color="auto" w:fill="FFFFFF"/>
        </w:rPr>
        <w:t>的股权。</w:t>
      </w:r>
      <w:r w:rsidRPr="007A3B71">
        <w:rPr>
          <w:rFonts w:ascii="Times New Roman" w:eastAsia="楷体" w:hAnsi="Times New Roman" w:cs="Times New Roman"/>
          <w:color w:val="333333"/>
          <w:shd w:val="clear" w:color="auto" w:fill="FFFFFF"/>
        </w:rPr>
        <w:t>2021</w:t>
      </w:r>
      <w:r w:rsidRPr="007A3B71">
        <w:rPr>
          <w:rFonts w:ascii="Times New Roman" w:eastAsia="楷体" w:hAnsi="Times New Roman" w:cs="Times New Roman"/>
          <w:color w:val="333333"/>
          <w:shd w:val="clear" w:color="auto" w:fill="FFFFFF"/>
        </w:rPr>
        <w:t>年</w:t>
      </w:r>
      <w:r w:rsidRPr="007A3B71">
        <w:rPr>
          <w:rFonts w:ascii="Times New Roman" w:eastAsia="楷体" w:hAnsi="Times New Roman" w:cs="Times New Roman"/>
          <w:color w:val="333333"/>
          <w:shd w:val="clear" w:color="auto" w:fill="FFFFFF"/>
        </w:rPr>
        <w:t>11</w:t>
      </w:r>
      <w:r w:rsidRPr="007A3B71">
        <w:rPr>
          <w:rFonts w:ascii="Times New Roman" w:eastAsia="楷体" w:hAnsi="Times New Roman" w:cs="Times New Roman"/>
          <w:color w:val="333333"/>
          <w:shd w:val="clear" w:color="auto" w:fill="FFFFFF"/>
        </w:rPr>
        <w:t>月，公司公告拟以</w:t>
      </w:r>
      <w:r w:rsidRPr="007A3B71">
        <w:rPr>
          <w:rFonts w:ascii="Times New Roman" w:eastAsia="楷体" w:hAnsi="Times New Roman" w:cs="Times New Roman"/>
          <w:color w:val="333333"/>
          <w:shd w:val="clear" w:color="auto" w:fill="FFFFFF"/>
        </w:rPr>
        <w:t>8760</w:t>
      </w:r>
      <w:r w:rsidRPr="007A3B71">
        <w:rPr>
          <w:rFonts w:ascii="Times New Roman" w:eastAsia="楷体" w:hAnsi="Times New Roman" w:cs="Times New Roman"/>
          <w:color w:val="333333"/>
          <w:shd w:val="clear" w:color="auto" w:fill="FFFFFF"/>
        </w:rPr>
        <w:t>万元继续收购东莞骏达</w:t>
      </w:r>
      <w:r w:rsidRPr="007A3B71">
        <w:rPr>
          <w:rFonts w:ascii="Times New Roman" w:eastAsia="楷体" w:hAnsi="Times New Roman" w:cs="Times New Roman"/>
          <w:color w:val="333333"/>
          <w:shd w:val="clear" w:color="auto" w:fill="FFFFFF"/>
        </w:rPr>
        <w:t>15%</w:t>
      </w:r>
      <w:r w:rsidRPr="007A3B71">
        <w:rPr>
          <w:rFonts w:ascii="Times New Roman" w:eastAsia="楷体" w:hAnsi="Times New Roman" w:cs="Times New Roman"/>
          <w:color w:val="333333"/>
          <w:shd w:val="clear" w:color="auto" w:fill="FFFFFF"/>
        </w:rPr>
        <w:t>的股权，收购完成后公司将持有其</w:t>
      </w:r>
      <w:r w:rsidRPr="007A3B71">
        <w:rPr>
          <w:rFonts w:ascii="Times New Roman" w:eastAsia="楷体" w:hAnsi="Times New Roman" w:cs="Times New Roman"/>
          <w:color w:val="333333"/>
          <w:shd w:val="clear" w:color="auto" w:fill="FFFFFF"/>
        </w:rPr>
        <w:t>61.75%</w:t>
      </w:r>
      <w:r w:rsidRPr="007A3B71">
        <w:rPr>
          <w:rFonts w:ascii="Times New Roman" w:eastAsia="楷体" w:hAnsi="Times New Roman" w:cs="Times New Roman"/>
          <w:color w:val="333333"/>
          <w:shd w:val="clear" w:color="auto" w:fill="FFFFFF"/>
        </w:rPr>
        <w:t>的股权并纳入合并报表。东莞骏达主营产品同为玻璃防护屏，主要客户为京东方。目前信濠在京东方销售占比较小，收购完成后有利于公司提升在京东方的市场份额。</w:t>
      </w:r>
    </w:p>
    <w:p w14:paraId="3FBD10DA" w14:textId="42EC027E"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看好公司在国内厂商市占率提升，及欧美大客户持续拓展。公司积极扩充产能保障未来增长。东莞骏达松山湖生产园可利用产能空间充足，将作为公司重要生产基地。此外，公司首发募投资金将用于黄石厂区生产建设，未来公司产能得到有效保障。</w:t>
      </w:r>
      <w:r w:rsidRPr="007A3B71">
        <w:rPr>
          <w:rFonts w:ascii="Times New Roman" w:eastAsia="楷体" w:hAnsi="Times New Roman" w:cs="Times New Roman"/>
          <w:color w:val="333333"/>
          <w:shd w:val="clear" w:color="auto" w:fill="FFFFFF"/>
        </w:rPr>
        <w:t>2020</w:t>
      </w:r>
      <w:r w:rsidRPr="007A3B71">
        <w:rPr>
          <w:rFonts w:ascii="Times New Roman" w:eastAsia="楷体" w:hAnsi="Times New Roman" w:cs="Times New Roman"/>
          <w:color w:val="333333"/>
          <w:shd w:val="clear" w:color="auto" w:fill="FFFFFF"/>
        </w:rPr>
        <w:t>年公司与</w:t>
      </w:r>
      <w:r w:rsidRPr="007A3B71">
        <w:rPr>
          <w:rFonts w:ascii="Times New Roman" w:eastAsia="楷体" w:hAnsi="Times New Roman" w:cs="Times New Roman"/>
          <w:color w:val="333333"/>
          <w:shd w:val="clear" w:color="auto" w:fill="FFFFFF"/>
        </w:rPr>
        <w:t>OPPO</w:t>
      </w:r>
      <w:r w:rsidRPr="007A3B71">
        <w:rPr>
          <w:rFonts w:ascii="Times New Roman" w:eastAsia="楷体" w:hAnsi="Times New Roman" w:cs="Times New Roman"/>
          <w:color w:val="333333"/>
          <w:shd w:val="clear" w:color="auto" w:fill="FFFFFF"/>
        </w:rPr>
        <w:t>合作取得重要进展，继续看好公司在国产终端手机厂商份额提升，及欧美大客户拓展。</w:t>
      </w:r>
    </w:p>
    <w:p w14:paraId="4D3804B3" w14:textId="732881AC" w:rsidR="007A3B71" w:rsidRPr="007A3B71"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盈利预测：我们预计公司</w:t>
      </w:r>
      <w:r w:rsidRPr="007A3B71">
        <w:rPr>
          <w:rFonts w:ascii="Times New Roman" w:eastAsia="楷体" w:hAnsi="Times New Roman" w:cs="Times New Roman"/>
          <w:color w:val="333333"/>
          <w:shd w:val="clear" w:color="auto" w:fill="FFFFFF"/>
        </w:rPr>
        <w:t>2021/2022/2023</w:t>
      </w:r>
      <w:r w:rsidRPr="007A3B71">
        <w:rPr>
          <w:rFonts w:ascii="Times New Roman" w:eastAsia="楷体" w:hAnsi="Times New Roman" w:cs="Times New Roman"/>
          <w:color w:val="333333"/>
          <w:shd w:val="clear" w:color="auto" w:fill="FFFFFF"/>
        </w:rPr>
        <w:t>年归母净利润分别为</w:t>
      </w:r>
      <w:r w:rsidRPr="007A3B71">
        <w:rPr>
          <w:rFonts w:ascii="Times New Roman" w:eastAsia="楷体" w:hAnsi="Times New Roman" w:cs="Times New Roman"/>
          <w:color w:val="333333"/>
          <w:shd w:val="clear" w:color="auto" w:fill="FFFFFF"/>
        </w:rPr>
        <w:t>2.09/2.83/4.19</w:t>
      </w:r>
      <w:r w:rsidRPr="007A3B71">
        <w:rPr>
          <w:rFonts w:ascii="Times New Roman" w:eastAsia="楷体" w:hAnsi="Times New Roman" w:cs="Times New Roman"/>
          <w:color w:val="333333"/>
          <w:shd w:val="clear" w:color="auto" w:fill="FFFFFF"/>
        </w:rPr>
        <w:t>亿元，对应</w:t>
      </w:r>
      <w:r w:rsidRPr="007A3B71">
        <w:rPr>
          <w:rFonts w:ascii="Times New Roman" w:eastAsia="楷体" w:hAnsi="Times New Roman" w:cs="Times New Roman"/>
          <w:color w:val="333333"/>
          <w:shd w:val="clear" w:color="auto" w:fill="FFFFFF"/>
        </w:rPr>
        <w:t>11</w:t>
      </w:r>
      <w:r w:rsidRPr="007A3B71">
        <w:rPr>
          <w:rFonts w:ascii="Times New Roman" w:eastAsia="楷体" w:hAnsi="Times New Roman" w:cs="Times New Roman"/>
          <w:color w:val="333333"/>
          <w:shd w:val="clear" w:color="auto" w:fill="FFFFFF"/>
        </w:rPr>
        <w:t>月</w:t>
      </w:r>
      <w:r w:rsidRPr="007A3B71">
        <w:rPr>
          <w:rFonts w:ascii="Times New Roman" w:eastAsia="楷体" w:hAnsi="Times New Roman" w:cs="Times New Roman"/>
          <w:color w:val="333333"/>
          <w:shd w:val="clear" w:color="auto" w:fill="FFFFFF"/>
        </w:rPr>
        <w:t>11</w:t>
      </w:r>
      <w:r w:rsidRPr="007A3B71">
        <w:rPr>
          <w:rFonts w:ascii="Times New Roman" w:eastAsia="楷体" w:hAnsi="Times New Roman" w:cs="Times New Roman"/>
          <w:color w:val="333333"/>
          <w:shd w:val="clear" w:color="auto" w:fill="FFFFFF"/>
        </w:rPr>
        <w:t>日股价</w:t>
      </w:r>
      <w:r w:rsidRPr="007A3B71">
        <w:rPr>
          <w:rFonts w:ascii="Times New Roman" w:eastAsia="楷体" w:hAnsi="Times New Roman" w:cs="Times New Roman"/>
          <w:color w:val="333333"/>
          <w:shd w:val="clear" w:color="auto" w:fill="FFFFFF"/>
        </w:rPr>
        <w:t>PE</w:t>
      </w:r>
      <w:r w:rsidRPr="007A3B71">
        <w:rPr>
          <w:rFonts w:ascii="Times New Roman" w:eastAsia="楷体" w:hAnsi="Times New Roman" w:cs="Times New Roman"/>
          <w:color w:val="333333"/>
          <w:shd w:val="clear" w:color="auto" w:fill="FFFFFF"/>
        </w:rPr>
        <w:t>分别为</w:t>
      </w:r>
      <w:r w:rsidRPr="007A3B71">
        <w:rPr>
          <w:rFonts w:ascii="Times New Roman" w:eastAsia="楷体" w:hAnsi="Times New Roman" w:cs="Times New Roman"/>
          <w:color w:val="333333"/>
          <w:shd w:val="clear" w:color="auto" w:fill="FFFFFF"/>
        </w:rPr>
        <w:t>42/31/21</w:t>
      </w:r>
      <w:r w:rsidRPr="007A3B71">
        <w:rPr>
          <w:rFonts w:ascii="Times New Roman" w:eastAsia="楷体" w:hAnsi="Times New Roman" w:cs="Times New Roman"/>
          <w:color w:val="333333"/>
          <w:shd w:val="clear" w:color="auto" w:fill="FFFFFF"/>
        </w:rPr>
        <w:t>倍，首次覆盖，给予</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买入</w:t>
      </w:r>
      <w:r w:rsidRPr="007A3B71">
        <w:rPr>
          <w:rFonts w:ascii="Times New Roman" w:eastAsia="楷体" w:hAnsi="Times New Roman" w:cs="Times New Roman"/>
          <w:color w:val="333333"/>
          <w:shd w:val="clear" w:color="auto" w:fill="FFFFFF"/>
        </w:rPr>
        <w:t>”</w:t>
      </w:r>
      <w:r w:rsidRPr="007A3B71">
        <w:rPr>
          <w:rFonts w:ascii="Times New Roman" w:eastAsia="楷体" w:hAnsi="Times New Roman" w:cs="Times New Roman"/>
          <w:color w:val="333333"/>
          <w:shd w:val="clear" w:color="auto" w:fill="FFFFFF"/>
        </w:rPr>
        <w:t>评级。</w:t>
      </w:r>
    </w:p>
    <w:p w14:paraId="3E68CFA4" w14:textId="7403A4E2" w:rsidR="003022D2" w:rsidRDefault="007A3B71" w:rsidP="007A3B71">
      <w:pPr>
        <w:spacing w:afterLines="50" w:after="120"/>
        <w:ind w:firstLineChars="200" w:firstLine="4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风险提示：客户拓展不及预期、市场竞争加剧、手机需求疲软。</w:t>
      </w:r>
    </w:p>
    <w:p w14:paraId="55F2AEA7" w14:textId="77777777" w:rsidR="003022D2" w:rsidRDefault="003022D2" w:rsidP="003022D2">
      <w:pPr>
        <w:spacing w:afterLines="50" w:after="120"/>
        <w:ind w:firstLineChars="200" w:firstLine="420"/>
        <w:rPr>
          <w:rFonts w:ascii="Times New Roman" w:eastAsia="楷体" w:hAnsi="Times New Roman" w:cs="Times New Roman"/>
          <w:color w:val="333333"/>
          <w:shd w:val="clear" w:color="auto" w:fill="FFFFFF"/>
        </w:rPr>
      </w:pPr>
    </w:p>
    <w:p w14:paraId="5A2321F8" w14:textId="736C04D9" w:rsidR="003022D2" w:rsidRDefault="007A3B71" w:rsidP="003022D2">
      <w:pPr>
        <w:spacing w:afterLines="50" w:after="120"/>
        <w:rPr>
          <w:rFonts w:ascii="Times New Roman" w:eastAsia="楷体" w:hAnsi="Times New Roman" w:cs="Times New Roman"/>
          <w:color w:val="333333"/>
          <w:shd w:val="clear" w:color="auto" w:fill="FFFFFF"/>
        </w:rPr>
      </w:pPr>
      <w:r w:rsidRPr="007A3B71">
        <w:rPr>
          <w:rFonts w:ascii="Times New Roman" w:eastAsia="楷体" w:hAnsi="Times New Roman" w:cs="Times New Roman"/>
          <w:color w:val="333333"/>
          <w:shd w:val="clear" w:color="auto" w:fill="FFFFFF"/>
        </w:rPr>
        <w:t>（分析师：何立中，执业证书编号：</w:t>
      </w:r>
      <w:r w:rsidRPr="007A3B71">
        <w:rPr>
          <w:rFonts w:ascii="Times New Roman" w:eastAsia="楷体" w:hAnsi="Times New Roman" w:cs="Times New Roman"/>
          <w:color w:val="333333"/>
          <w:shd w:val="clear" w:color="auto" w:fill="FFFFFF"/>
        </w:rPr>
        <w:t>S0110521050001</w:t>
      </w:r>
      <w:r w:rsidRPr="007A3B71">
        <w:rPr>
          <w:rFonts w:ascii="Times New Roman" w:eastAsia="楷体" w:hAnsi="Times New Roman" w:cs="Times New Roman"/>
          <w:color w:val="333333"/>
          <w:shd w:val="clear" w:color="auto" w:fill="FFFFFF"/>
        </w:rPr>
        <w:t>）</w:t>
      </w:r>
    </w:p>
    <w:p w14:paraId="1B38EAD7" w14:textId="77777777" w:rsidR="00037E01" w:rsidRDefault="00037E01">
      <w:pPr>
        <w:spacing w:afterLines="50" w:after="120"/>
        <w:ind w:firstLineChars="200" w:firstLine="562"/>
        <w:jc w:val="center"/>
        <w:rPr>
          <w:rFonts w:ascii="黑体" w:eastAsia="黑体" w:hAnsi="黑体" w:cs="Times New Roman"/>
          <w:b/>
          <w:bCs/>
          <w:color w:val="000000" w:themeColor="text1"/>
          <w:sz w:val="28"/>
          <w:szCs w:val="28"/>
        </w:rPr>
      </w:pPr>
    </w:p>
    <w:p w14:paraId="026CFAD4" w14:textId="6E84A324" w:rsidR="00037E01" w:rsidRDefault="00037E01">
      <w:pPr>
        <w:spacing w:afterLines="50" w:after="120"/>
        <w:rPr>
          <w:rFonts w:ascii="黑体" w:eastAsia="黑体" w:hAnsi="黑体" w:cs="Times New Roman"/>
          <w:b/>
          <w:bCs/>
          <w:color w:val="000000" w:themeColor="text1"/>
          <w:sz w:val="28"/>
          <w:szCs w:val="28"/>
        </w:rPr>
      </w:pPr>
    </w:p>
    <w:p w14:paraId="7173983B" w14:textId="7AA40EE2" w:rsidR="007A3B71" w:rsidRDefault="007A3B71">
      <w:pPr>
        <w:spacing w:afterLines="50" w:after="120"/>
        <w:rPr>
          <w:rFonts w:ascii="黑体" w:eastAsia="黑体" w:hAnsi="黑体" w:cs="Times New Roman"/>
          <w:b/>
          <w:bCs/>
          <w:color w:val="000000" w:themeColor="text1"/>
          <w:sz w:val="28"/>
          <w:szCs w:val="28"/>
        </w:rPr>
      </w:pPr>
    </w:p>
    <w:p w14:paraId="02DBF342" w14:textId="4B0FE7E5" w:rsidR="007A3B71" w:rsidRDefault="007A3B71">
      <w:pPr>
        <w:spacing w:afterLines="50" w:after="120"/>
        <w:rPr>
          <w:rFonts w:ascii="黑体" w:eastAsia="黑体" w:hAnsi="黑体" w:cs="Times New Roman"/>
          <w:b/>
          <w:bCs/>
          <w:color w:val="000000" w:themeColor="text1"/>
          <w:sz w:val="28"/>
          <w:szCs w:val="28"/>
        </w:rPr>
      </w:pPr>
    </w:p>
    <w:p w14:paraId="3C400985" w14:textId="7FBA0F2D" w:rsidR="007A3B71" w:rsidRDefault="007A3B71">
      <w:pPr>
        <w:spacing w:afterLines="50" w:after="120"/>
        <w:rPr>
          <w:rFonts w:ascii="黑体" w:eastAsia="黑体" w:hAnsi="黑体" w:cs="Times New Roman"/>
          <w:b/>
          <w:bCs/>
          <w:color w:val="000000" w:themeColor="text1"/>
          <w:sz w:val="28"/>
          <w:szCs w:val="28"/>
        </w:rPr>
      </w:pPr>
    </w:p>
    <w:p w14:paraId="1FE525B7" w14:textId="34E49467" w:rsidR="007A3B71" w:rsidRDefault="007A3B71">
      <w:pPr>
        <w:spacing w:afterLines="50" w:after="120"/>
        <w:rPr>
          <w:rFonts w:ascii="黑体" w:eastAsia="黑体" w:hAnsi="黑体" w:cs="Times New Roman"/>
          <w:b/>
          <w:bCs/>
          <w:color w:val="000000" w:themeColor="text1"/>
          <w:sz w:val="28"/>
          <w:szCs w:val="28"/>
        </w:rPr>
      </w:pPr>
    </w:p>
    <w:p w14:paraId="401E12BA" w14:textId="5CC14535" w:rsidR="007A3B71" w:rsidRDefault="007A3B71">
      <w:pPr>
        <w:spacing w:afterLines="50" w:after="120"/>
        <w:rPr>
          <w:rFonts w:ascii="黑体" w:eastAsia="黑体" w:hAnsi="黑体" w:cs="Times New Roman"/>
          <w:b/>
          <w:bCs/>
          <w:color w:val="000000" w:themeColor="text1"/>
          <w:sz w:val="28"/>
          <w:szCs w:val="28"/>
        </w:rPr>
      </w:pPr>
    </w:p>
    <w:p w14:paraId="7D88E1B6" w14:textId="77777777" w:rsidR="007A3B71" w:rsidRDefault="007A3B71">
      <w:pPr>
        <w:spacing w:afterLines="50" w:after="120"/>
        <w:rPr>
          <w:rFonts w:ascii="Times New Roman" w:eastAsia="楷体" w:hAnsi="Times New Roman" w:cs="Times New Roman" w:hint="eastAsia"/>
          <w:color w:val="333333"/>
          <w:shd w:val="clear" w:color="auto" w:fill="FFFFFF"/>
        </w:rPr>
      </w:pPr>
    </w:p>
    <w:p w14:paraId="29DF3C7B" w14:textId="77777777" w:rsidR="00037E01" w:rsidRDefault="00037E01">
      <w:pPr>
        <w:spacing w:afterLines="50" w:after="120"/>
        <w:rPr>
          <w:rFonts w:ascii="Times New Roman" w:eastAsia="楷体" w:hAnsi="Times New Roman" w:cs="Times New Roman"/>
          <w:color w:val="333333"/>
          <w:shd w:val="clear" w:color="auto" w:fill="FFFFFF"/>
        </w:rPr>
      </w:pPr>
    </w:p>
    <w:p w14:paraId="6C4F5BDD" w14:textId="77777777" w:rsidR="00037E01" w:rsidRDefault="00037E01">
      <w:pPr>
        <w:spacing w:afterLines="50" w:after="120"/>
        <w:rPr>
          <w:rFonts w:ascii="黑体" w:eastAsia="黑体" w:hAnsi="黑体" w:cs="Times New Roman"/>
          <w:b/>
          <w:bCs/>
          <w:color w:val="000000" w:themeColor="text1"/>
          <w:sz w:val="28"/>
          <w:szCs w:val="28"/>
        </w:rPr>
      </w:pPr>
    </w:p>
    <w:tbl>
      <w:tblPr>
        <w:tblStyle w:val="ac"/>
        <w:tblW w:w="0" w:type="auto"/>
        <w:tblBorders>
          <w:top w:val="single" w:sz="8" w:space="0" w:color="D50000"/>
          <w:left w:val="none" w:sz="0" w:space="0" w:color="auto"/>
          <w:bottom w:val="single" w:sz="8" w:space="0" w:color="D50000"/>
          <w:right w:val="none" w:sz="0" w:space="0" w:color="auto"/>
          <w:insideH w:val="none" w:sz="0" w:space="0" w:color="auto"/>
          <w:insideV w:val="none" w:sz="0" w:space="0" w:color="auto"/>
        </w:tblBorders>
        <w:shd w:val="clear" w:color="auto" w:fill="D50000"/>
        <w:tblLook w:val="04A0" w:firstRow="1" w:lastRow="0" w:firstColumn="1" w:lastColumn="0" w:noHBand="0" w:noVBand="1"/>
      </w:tblPr>
      <w:tblGrid>
        <w:gridCol w:w="10194"/>
      </w:tblGrid>
      <w:tr w:rsidR="00037E01" w14:paraId="58A3FF27" w14:textId="77777777">
        <w:tc>
          <w:tcPr>
            <w:tcW w:w="10194" w:type="dxa"/>
            <w:shd w:val="clear" w:color="auto" w:fill="D50000"/>
          </w:tcPr>
          <w:p w14:paraId="3B842C4B" w14:textId="77777777" w:rsidR="00037E01" w:rsidRDefault="00204A8E">
            <w:pPr>
              <w:jc w:val="center"/>
              <w:rPr>
                <w:rFonts w:ascii="黑体" w:eastAsia="黑体" w:hAnsi="黑体" w:cs="Times New Roman"/>
                <w:b/>
                <w:bCs/>
                <w:sz w:val="30"/>
                <w:szCs w:val="30"/>
                <w:lang w:val="zh-CN"/>
              </w:rPr>
            </w:pPr>
            <w:r>
              <w:rPr>
                <w:rFonts w:ascii="黑体" w:eastAsia="黑体" w:hAnsi="黑体" w:cs="Times New Roman" w:hint="eastAsia"/>
                <w:b/>
                <w:bCs/>
                <w:color w:val="FFFFFF" w:themeColor="background1"/>
                <w:sz w:val="30"/>
                <w:szCs w:val="30"/>
                <w:lang w:val="zh-CN"/>
              </w:rPr>
              <w:lastRenderedPageBreak/>
              <w:t>主要市场数据</w:t>
            </w:r>
          </w:p>
        </w:tc>
      </w:tr>
    </w:tbl>
    <w:p w14:paraId="26806711" w14:textId="77777777" w:rsidR="00037E01" w:rsidRDefault="00204A8E">
      <w:pPr>
        <w:pStyle w:val="a3"/>
        <w:rPr>
          <w:rFonts w:cs="Times New Roman"/>
        </w:rPr>
      </w:pPr>
      <w:bookmarkStart w:id="1" w:name="_Toc56626900"/>
      <w:bookmarkStart w:id="2" w:name="_Toc47597952"/>
      <w:r>
        <w:rPr>
          <w:rFonts w:cs="Times New Roman"/>
        </w:rPr>
        <w:t>表</w:t>
      </w:r>
      <w:r>
        <w:rPr>
          <w:rFonts w:cs="Times New Roman"/>
        </w:rPr>
        <w:t xml:space="preserve"> 1 </w:t>
      </w:r>
      <w:bookmarkEnd w:id="1"/>
      <w:bookmarkEnd w:id="2"/>
      <w:r>
        <w:rPr>
          <w:rFonts w:cs="Times New Roman" w:hint="eastAsia"/>
        </w:rPr>
        <w:t>全球主要市场指数</w:t>
      </w:r>
    </w:p>
    <w:tbl>
      <w:tblPr>
        <w:tblStyle w:val="4-11"/>
        <w:tblW w:w="10175" w:type="dxa"/>
        <w:tblLayout w:type="fixed"/>
        <w:tblLook w:val="04A0" w:firstRow="1" w:lastRow="0" w:firstColumn="1" w:lastColumn="0" w:noHBand="0" w:noVBand="1"/>
      </w:tblPr>
      <w:tblGrid>
        <w:gridCol w:w="1809"/>
        <w:gridCol w:w="1560"/>
        <w:gridCol w:w="1616"/>
        <w:gridCol w:w="1815"/>
        <w:gridCol w:w="1770"/>
        <w:gridCol w:w="1605"/>
      </w:tblGrid>
      <w:tr w:rsidR="00037E01" w14:paraId="19748F0A" w14:textId="77777777" w:rsidTr="00037E01">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09" w:type="dxa"/>
            <w:noWrap/>
          </w:tcPr>
          <w:p w14:paraId="26FEC03C" w14:textId="77777777" w:rsidR="00037E01" w:rsidRDefault="00204A8E">
            <w:pPr>
              <w:widowControl/>
              <w:jc w:val="left"/>
              <w:rPr>
                <w:rFonts w:ascii="Times New Roman" w:eastAsia="宋体" w:hAnsi="Times New Roman" w:cs="Times New Roman"/>
                <w:b w:val="0"/>
                <w:bCs w:val="0"/>
                <w:kern w:val="0"/>
                <w:sz w:val="18"/>
                <w:szCs w:val="18"/>
              </w:rPr>
            </w:pPr>
            <w:r>
              <w:rPr>
                <w:rFonts w:ascii="Times New Roman" w:eastAsia="宋体" w:hAnsi="Times New Roman" w:cs="Times New Roman"/>
                <w:b w:val="0"/>
                <w:bCs w:val="0"/>
                <w:kern w:val="0"/>
                <w:sz w:val="18"/>
                <w:szCs w:val="18"/>
              </w:rPr>
              <w:t>指数名称</w:t>
            </w:r>
          </w:p>
        </w:tc>
        <w:tc>
          <w:tcPr>
            <w:tcW w:w="1560" w:type="dxa"/>
            <w:noWrap/>
          </w:tcPr>
          <w:p w14:paraId="16217519"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收盘点位</w:t>
            </w:r>
          </w:p>
        </w:tc>
        <w:tc>
          <w:tcPr>
            <w:tcW w:w="1616" w:type="dxa"/>
            <w:noWrap/>
          </w:tcPr>
          <w:p w14:paraId="1C95F582"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1日涨跌幅（%）</w:t>
            </w:r>
          </w:p>
        </w:tc>
        <w:tc>
          <w:tcPr>
            <w:tcW w:w="1815" w:type="dxa"/>
            <w:noWrap/>
          </w:tcPr>
          <w:p w14:paraId="3FF84342"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1周涨跌幅（%）</w:t>
            </w:r>
          </w:p>
        </w:tc>
        <w:tc>
          <w:tcPr>
            <w:tcW w:w="1770" w:type="dxa"/>
            <w:noWrap/>
          </w:tcPr>
          <w:p w14:paraId="32391C4F"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1个月涨跌幅（%）</w:t>
            </w:r>
          </w:p>
        </w:tc>
        <w:tc>
          <w:tcPr>
            <w:tcW w:w="1605" w:type="dxa"/>
            <w:noWrap/>
          </w:tcPr>
          <w:p w14:paraId="53FFDAAA"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年涨跌幅（%）</w:t>
            </w:r>
          </w:p>
        </w:tc>
      </w:tr>
      <w:tr w:rsidR="007A3B71" w14:paraId="24F07645"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809" w:type="dxa"/>
            <w:shd w:val="clear" w:color="auto" w:fill="FFC6CA"/>
            <w:noWrap/>
          </w:tcPr>
          <w:p w14:paraId="27A03FF6"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上证综指</w:t>
            </w:r>
          </w:p>
        </w:tc>
        <w:tc>
          <w:tcPr>
            <w:tcW w:w="1560" w:type="dxa"/>
            <w:shd w:val="clear" w:color="auto" w:fill="FFC6CA"/>
            <w:noWrap/>
            <w:vAlign w:val="bottom"/>
          </w:tcPr>
          <w:p w14:paraId="49C2853A" w14:textId="6D34F14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3,539.1</w:t>
            </w:r>
          </w:p>
        </w:tc>
        <w:tc>
          <w:tcPr>
            <w:tcW w:w="1616" w:type="dxa"/>
            <w:shd w:val="clear" w:color="auto" w:fill="FFC6CA"/>
            <w:noWrap/>
            <w:vAlign w:val="bottom"/>
          </w:tcPr>
          <w:p w14:paraId="467DD923" w14:textId="3E0E679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0.18</w:t>
            </w:r>
          </w:p>
        </w:tc>
        <w:tc>
          <w:tcPr>
            <w:tcW w:w="1815" w:type="dxa"/>
            <w:shd w:val="clear" w:color="auto" w:fill="FFC6CA"/>
            <w:noWrap/>
            <w:vAlign w:val="bottom"/>
          </w:tcPr>
          <w:p w14:paraId="64FFF019" w14:textId="0568D30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1.36</w:t>
            </w:r>
          </w:p>
        </w:tc>
        <w:tc>
          <w:tcPr>
            <w:tcW w:w="1770" w:type="dxa"/>
            <w:shd w:val="clear" w:color="auto" w:fill="FFC6CA"/>
            <w:noWrap/>
            <w:vAlign w:val="bottom"/>
          </w:tcPr>
          <w:p w14:paraId="49AAEDDC" w14:textId="063A03A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-0.23</w:t>
            </w:r>
          </w:p>
        </w:tc>
        <w:tc>
          <w:tcPr>
            <w:tcW w:w="1605" w:type="dxa"/>
            <w:shd w:val="clear" w:color="auto" w:fill="FFC6CA"/>
            <w:noWrap/>
            <w:vAlign w:val="bottom"/>
          </w:tcPr>
          <w:p w14:paraId="3D73F7A6" w14:textId="2BBB394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1.90</w:t>
            </w:r>
          </w:p>
        </w:tc>
      </w:tr>
      <w:tr w:rsidR="007A3B71" w14:paraId="7E87A67D"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809" w:type="dxa"/>
            <w:noWrap/>
          </w:tcPr>
          <w:p w14:paraId="37F5FC2D"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深证成指</w:t>
            </w:r>
          </w:p>
        </w:tc>
        <w:tc>
          <w:tcPr>
            <w:tcW w:w="1560" w:type="dxa"/>
            <w:noWrap/>
            <w:vAlign w:val="bottom"/>
          </w:tcPr>
          <w:p w14:paraId="72D80C48" w14:textId="6B26AFD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14,705.4</w:t>
            </w:r>
          </w:p>
        </w:tc>
        <w:tc>
          <w:tcPr>
            <w:tcW w:w="1616" w:type="dxa"/>
            <w:noWrap/>
            <w:vAlign w:val="bottom"/>
          </w:tcPr>
          <w:p w14:paraId="655C205D" w14:textId="7F85D06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0.04</w:t>
            </w:r>
          </w:p>
        </w:tc>
        <w:tc>
          <w:tcPr>
            <w:tcW w:w="1815" w:type="dxa"/>
            <w:noWrap/>
            <w:vAlign w:val="bottom"/>
          </w:tcPr>
          <w:p w14:paraId="1A527384" w14:textId="349C430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1.68</w:t>
            </w:r>
          </w:p>
        </w:tc>
        <w:tc>
          <w:tcPr>
            <w:tcW w:w="1770" w:type="dxa"/>
            <w:noWrap/>
            <w:vAlign w:val="bottom"/>
          </w:tcPr>
          <w:p w14:paraId="68265FB9" w14:textId="15FB1F0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1.76</w:t>
            </w:r>
          </w:p>
        </w:tc>
        <w:tc>
          <w:tcPr>
            <w:tcW w:w="1605" w:type="dxa"/>
            <w:noWrap/>
            <w:vAlign w:val="bottom"/>
          </w:tcPr>
          <w:p w14:paraId="23333512" w14:textId="355DA0F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1.62</w:t>
            </w:r>
          </w:p>
        </w:tc>
      </w:tr>
      <w:tr w:rsidR="007A3B71" w14:paraId="17CC2366"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809" w:type="dxa"/>
            <w:shd w:val="clear" w:color="auto" w:fill="FFC6CA"/>
            <w:noWrap/>
          </w:tcPr>
          <w:p w14:paraId="350AF708"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沪深300</w:t>
            </w:r>
          </w:p>
        </w:tc>
        <w:tc>
          <w:tcPr>
            <w:tcW w:w="1560" w:type="dxa"/>
            <w:shd w:val="clear" w:color="auto" w:fill="FFC6CA"/>
            <w:noWrap/>
            <w:vAlign w:val="bottom"/>
          </w:tcPr>
          <w:p w14:paraId="00B3BDDC" w14:textId="469CD3A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4,888.4</w:t>
            </w:r>
          </w:p>
        </w:tc>
        <w:tc>
          <w:tcPr>
            <w:tcW w:w="1616" w:type="dxa"/>
            <w:shd w:val="clear" w:color="auto" w:fill="FFC6CA"/>
            <w:noWrap/>
            <w:vAlign w:val="bottom"/>
          </w:tcPr>
          <w:p w14:paraId="0A874D22" w14:textId="254049F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-0.21</w:t>
            </w:r>
          </w:p>
        </w:tc>
        <w:tc>
          <w:tcPr>
            <w:tcW w:w="1815" w:type="dxa"/>
            <w:shd w:val="clear" w:color="auto" w:fill="FFC6CA"/>
            <w:noWrap/>
            <w:vAlign w:val="bottom"/>
          </w:tcPr>
          <w:p w14:paraId="03A6CB47" w14:textId="6AB7937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0.95</w:t>
            </w:r>
          </w:p>
        </w:tc>
        <w:tc>
          <w:tcPr>
            <w:tcW w:w="1770" w:type="dxa"/>
            <w:shd w:val="clear" w:color="auto" w:fill="FFC6CA"/>
            <w:noWrap/>
            <w:vAlign w:val="bottom"/>
          </w:tcPr>
          <w:p w14:paraId="30D10B11" w14:textId="13F5119C"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-0.42</w:t>
            </w:r>
          </w:p>
        </w:tc>
        <w:tc>
          <w:tcPr>
            <w:tcW w:w="1605" w:type="dxa"/>
            <w:shd w:val="clear" w:color="auto" w:fill="FFC6CA"/>
            <w:noWrap/>
            <w:vAlign w:val="bottom"/>
          </w:tcPr>
          <w:p w14:paraId="5EA26A12" w14:textId="1E3C110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-6.20</w:t>
            </w:r>
          </w:p>
        </w:tc>
      </w:tr>
      <w:tr w:rsidR="007A3B71" w14:paraId="40BFE34B"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809" w:type="dxa"/>
            <w:noWrap/>
          </w:tcPr>
          <w:p w14:paraId="0D76BC9A"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恒生指数</w:t>
            </w:r>
          </w:p>
        </w:tc>
        <w:tc>
          <w:tcPr>
            <w:tcW w:w="1560" w:type="dxa"/>
            <w:noWrap/>
            <w:vAlign w:val="bottom"/>
          </w:tcPr>
          <w:p w14:paraId="1F2E0A6F" w14:textId="30422BC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25,328.0</w:t>
            </w:r>
          </w:p>
        </w:tc>
        <w:tc>
          <w:tcPr>
            <w:tcW w:w="1616" w:type="dxa"/>
            <w:noWrap/>
            <w:vAlign w:val="bottom"/>
          </w:tcPr>
          <w:p w14:paraId="4452F76D" w14:textId="04BB235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0.32</w:t>
            </w:r>
          </w:p>
        </w:tc>
        <w:tc>
          <w:tcPr>
            <w:tcW w:w="1815" w:type="dxa"/>
            <w:noWrap/>
            <w:vAlign w:val="bottom"/>
          </w:tcPr>
          <w:p w14:paraId="3DEAE5CB" w14:textId="564AF45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1.84</w:t>
            </w:r>
          </w:p>
        </w:tc>
        <w:tc>
          <w:tcPr>
            <w:tcW w:w="1770" w:type="dxa"/>
            <w:noWrap/>
            <w:vAlign w:val="bottom"/>
          </w:tcPr>
          <w:p w14:paraId="777E6460" w14:textId="57F9722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-0.19</w:t>
            </w:r>
          </w:p>
        </w:tc>
        <w:tc>
          <w:tcPr>
            <w:tcW w:w="1605" w:type="dxa"/>
            <w:noWrap/>
            <w:vAlign w:val="bottom"/>
          </w:tcPr>
          <w:p w14:paraId="46DDA997" w14:textId="7F769F58"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-6.99</w:t>
            </w:r>
          </w:p>
        </w:tc>
      </w:tr>
      <w:tr w:rsidR="007A3B71" w14:paraId="4DABA10F"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809" w:type="dxa"/>
            <w:shd w:val="clear" w:color="auto" w:fill="FFC6CA"/>
            <w:noWrap/>
          </w:tcPr>
          <w:p w14:paraId="1C7F7B21"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标普500</w:t>
            </w:r>
          </w:p>
        </w:tc>
        <w:tc>
          <w:tcPr>
            <w:tcW w:w="1560" w:type="dxa"/>
            <w:shd w:val="clear" w:color="auto" w:fill="FFC6CA"/>
            <w:noWrap/>
            <w:vAlign w:val="bottom"/>
          </w:tcPr>
          <w:p w14:paraId="61A37462" w14:textId="217B96D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4,682.9</w:t>
            </w:r>
          </w:p>
        </w:tc>
        <w:tc>
          <w:tcPr>
            <w:tcW w:w="1616" w:type="dxa"/>
            <w:shd w:val="clear" w:color="auto" w:fill="FFC6CA"/>
            <w:noWrap/>
            <w:vAlign w:val="bottom"/>
          </w:tcPr>
          <w:p w14:paraId="56B4B3CF" w14:textId="434C6DE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0.72</w:t>
            </w:r>
          </w:p>
        </w:tc>
        <w:tc>
          <w:tcPr>
            <w:tcW w:w="1815" w:type="dxa"/>
            <w:shd w:val="clear" w:color="auto" w:fill="FFC6CA"/>
            <w:noWrap/>
            <w:vAlign w:val="bottom"/>
          </w:tcPr>
          <w:p w14:paraId="6D62EEBA" w14:textId="1F2D816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-0.31</w:t>
            </w:r>
          </w:p>
        </w:tc>
        <w:tc>
          <w:tcPr>
            <w:tcW w:w="1770" w:type="dxa"/>
            <w:shd w:val="clear" w:color="auto" w:fill="FFC6CA"/>
            <w:noWrap/>
            <w:vAlign w:val="bottom"/>
          </w:tcPr>
          <w:p w14:paraId="076D504F" w14:textId="70098CC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1.68</w:t>
            </w:r>
          </w:p>
        </w:tc>
        <w:tc>
          <w:tcPr>
            <w:tcW w:w="1605" w:type="dxa"/>
            <w:shd w:val="clear" w:color="auto" w:fill="FFC6CA"/>
            <w:noWrap/>
            <w:vAlign w:val="bottom"/>
          </w:tcPr>
          <w:p w14:paraId="07AE8832" w14:textId="5A0ED60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24.67</w:t>
            </w:r>
          </w:p>
        </w:tc>
      </w:tr>
      <w:tr w:rsidR="007A3B71" w14:paraId="513BAFBC" w14:textId="77777777" w:rsidTr="0047725D">
        <w:trPr>
          <w:trHeight w:val="299"/>
        </w:trPr>
        <w:tc>
          <w:tcPr>
            <w:cnfStyle w:val="001000000000" w:firstRow="0" w:lastRow="0" w:firstColumn="1" w:lastColumn="0" w:oddVBand="0" w:evenVBand="0" w:oddHBand="0" w:evenHBand="0" w:firstRowFirstColumn="0" w:firstRowLastColumn="0" w:lastRowFirstColumn="0" w:lastRowLastColumn="0"/>
            <w:tcW w:w="1809" w:type="dxa"/>
            <w:noWrap/>
          </w:tcPr>
          <w:p w14:paraId="4C4E8D72"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道琼斯指数</w:t>
            </w:r>
          </w:p>
        </w:tc>
        <w:tc>
          <w:tcPr>
            <w:tcW w:w="1560" w:type="dxa"/>
            <w:noWrap/>
            <w:vAlign w:val="bottom"/>
          </w:tcPr>
          <w:p w14:paraId="7C9535D0" w14:textId="65B35D2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36,100.3</w:t>
            </w:r>
          </w:p>
        </w:tc>
        <w:tc>
          <w:tcPr>
            <w:tcW w:w="1616" w:type="dxa"/>
            <w:noWrap/>
            <w:vAlign w:val="bottom"/>
          </w:tcPr>
          <w:p w14:paraId="033E5FE2" w14:textId="798B8455"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0.50</w:t>
            </w:r>
          </w:p>
        </w:tc>
        <w:tc>
          <w:tcPr>
            <w:tcW w:w="1815" w:type="dxa"/>
            <w:noWrap/>
            <w:vAlign w:val="bottom"/>
          </w:tcPr>
          <w:p w14:paraId="0AF10333" w14:textId="31D7D48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-0.63</w:t>
            </w:r>
          </w:p>
        </w:tc>
        <w:tc>
          <w:tcPr>
            <w:tcW w:w="1770" w:type="dxa"/>
            <w:noWrap/>
            <w:vAlign w:val="bottom"/>
          </w:tcPr>
          <w:p w14:paraId="5B146171" w14:textId="1CF2559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0.78</w:t>
            </w:r>
          </w:p>
        </w:tc>
        <w:tc>
          <w:tcPr>
            <w:tcW w:w="1605" w:type="dxa"/>
            <w:noWrap/>
            <w:vAlign w:val="bottom"/>
          </w:tcPr>
          <w:p w14:paraId="37EB1970" w14:textId="5BE175E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17.95</w:t>
            </w:r>
          </w:p>
        </w:tc>
      </w:tr>
      <w:tr w:rsidR="007A3B71" w14:paraId="5F87CC1F" w14:textId="77777777" w:rsidTr="0047725D">
        <w:trPr>
          <w:trHeight w:val="299"/>
        </w:trPr>
        <w:tc>
          <w:tcPr>
            <w:cnfStyle w:val="001000000000" w:firstRow="0" w:lastRow="0" w:firstColumn="1" w:lastColumn="0" w:oddVBand="0" w:evenVBand="0" w:oddHBand="0" w:evenHBand="0" w:firstRowFirstColumn="0" w:firstRowLastColumn="0" w:lastRowFirstColumn="0" w:lastRowLastColumn="0"/>
            <w:tcW w:w="1809" w:type="dxa"/>
            <w:shd w:val="clear" w:color="auto" w:fill="FFC6CA"/>
            <w:noWrap/>
          </w:tcPr>
          <w:p w14:paraId="79D19529"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纳斯达克指数</w:t>
            </w:r>
          </w:p>
        </w:tc>
        <w:tc>
          <w:tcPr>
            <w:tcW w:w="1560" w:type="dxa"/>
            <w:shd w:val="clear" w:color="auto" w:fill="FFC6CA"/>
            <w:noWrap/>
            <w:vAlign w:val="bottom"/>
          </w:tcPr>
          <w:p w14:paraId="78544C3D" w14:textId="471C07E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15,861.0</w:t>
            </w:r>
          </w:p>
        </w:tc>
        <w:tc>
          <w:tcPr>
            <w:tcW w:w="1616" w:type="dxa"/>
            <w:shd w:val="clear" w:color="auto" w:fill="FFC6CA"/>
            <w:noWrap/>
            <w:vAlign w:val="bottom"/>
          </w:tcPr>
          <w:p w14:paraId="54FDB439" w14:textId="2D8ABAA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1.00</w:t>
            </w:r>
          </w:p>
        </w:tc>
        <w:tc>
          <w:tcPr>
            <w:tcW w:w="1815" w:type="dxa"/>
            <w:shd w:val="clear" w:color="auto" w:fill="FFC6CA"/>
            <w:noWrap/>
            <w:vAlign w:val="bottom"/>
          </w:tcPr>
          <w:p w14:paraId="23F7D67C" w14:textId="1D719B4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-0.69</w:t>
            </w:r>
          </w:p>
        </w:tc>
        <w:tc>
          <w:tcPr>
            <w:tcW w:w="1770" w:type="dxa"/>
            <w:shd w:val="clear" w:color="auto" w:fill="FFC6CA"/>
            <w:noWrap/>
            <w:vAlign w:val="bottom"/>
          </w:tcPr>
          <w:p w14:paraId="75EC1C79" w14:textId="37BA0070"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2.34</w:t>
            </w:r>
          </w:p>
        </w:tc>
        <w:tc>
          <w:tcPr>
            <w:tcW w:w="1605" w:type="dxa"/>
            <w:shd w:val="clear" w:color="auto" w:fill="FFC6CA"/>
            <w:noWrap/>
            <w:vAlign w:val="bottom"/>
          </w:tcPr>
          <w:p w14:paraId="7E0D4E75" w14:textId="6C9C367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23.06</w:t>
            </w:r>
          </w:p>
        </w:tc>
      </w:tr>
      <w:tr w:rsidR="007A3B71" w14:paraId="46763737" w14:textId="77777777" w:rsidTr="0047725D">
        <w:trPr>
          <w:trHeight w:val="299"/>
        </w:trPr>
        <w:tc>
          <w:tcPr>
            <w:cnfStyle w:val="001000000000" w:firstRow="0" w:lastRow="0" w:firstColumn="1" w:lastColumn="0" w:oddVBand="0" w:evenVBand="0" w:oddHBand="0" w:evenHBand="0" w:firstRowFirstColumn="0" w:firstRowLastColumn="0" w:lastRowFirstColumn="0" w:lastRowLastColumn="0"/>
            <w:tcW w:w="1809" w:type="dxa"/>
            <w:noWrap/>
          </w:tcPr>
          <w:p w14:paraId="77AEB792"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英国富时100</w:t>
            </w:r>
          </w:p>
        </w:tc>
        <w:tc>
          <w:tcPr>
            <w:tcW w:w="1560" w:type="dxa"/>
            <w:noWrap/>
            <w:vAlign w:val="bottom"/>
          </w:tcPr>
          <w:p w14:paraId="04C554FA" w14:textId="107BA79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7,347.9</w:t>
            </w:r>
          </w:p>
        </w:tc>
        <w:tc>
          <w:tcPr>
            <w:tcW w:w="1616" w:type="dxa"/>
            <w:noWrap/>
            <w:vAlign w:val="bottom"/>
          </w:tcPr>
          <w:p w14:paraId="2159B4E4" w14:textId="789D174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-0.49</w:t>
            </w:r>
          </w:p>
        </w:tc>
        <w:tc>
          <w:tcPr>
            <w:tcW w:w="1815" w:type="dxa"/>
            <w:noWrap/>
            <w:vAlign w:val="bottom"/>
          </w:tcPr>
          <w:p w14:paraId="097D5FE7" w14:textId="582B7A2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0.60</w:t>
            </w:r>
          </w:p>
        </w:tc>
        <w:tc>
          <w:tcPr>
            <w:tcW w:w="1770" w:type="dxa"/>
            <w:noWrap/>
            <w:vAlign w:val="bottom"/>
          </w:tcPr>
          <w:p w14:paraId="29D4E8ED" w14:textId="3355E0D8"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1.52</w:t>
            </w:r>
          </w:p>
        </w:tc>
        <w:tc>
          <w:tcPr>
            <w:tcW w:w="1605" w:type="dxa"/>
            <w:noWrap/>
            <w:vAlign w:val="bottom"/>
          </w:tcPr>
          <w:p w14:paraId="67F894ED" w14:textId="026FA53C"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13.74</w:t>
            </w:r>
          </w:p>
        </w:tc>
      </w:tr>
      <w:tr w:rsidR="007A3B71" w14:paraId="437DDC41" w14:textId="77777777" w:rsidTr="0047725D">
        <w:trPr>
          <w:trHeight w:val="299"/>
        </w:trPr>
        <w:tc>
          <w:tcPr>
            <w:cnfStyle w:val="001000000000" w:firstRow="0" w:lastRow="0" w:firstColumn="1" w:lastColumn="0" w:oddVBand="0" w:evenVBand="0" w:oddHBand="0" w:evenHBand="0" w:firstRowFirstColumn="0" w:firstRowLastColumn="0" w:lastRowFirstColumn="0" w:lastRowLastColumn="0"/>
            <w:tcW w:w="1809" w:type="dxa"/>
            <w:shd w:val="clear" w:color="auto" w:fill="FFC6CA"/>
            <w:noWrap/>
          </w:tcPr>
          <w:p w14:paraId="40312122"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德国DAX</w:t>
            </w:r>
          </w:p>
        </w:tc>
        <w:tc>
          <w:tcPr>
            <w:tcW w:w="1560" w:type="dxa"/>
            <w:shd w:val="clear" w:color="auto" w:fill="FFC6CA"/>
            <w:noWrap/>
            <w:vAlign w:val="bottom"/>
          </w:tcPr>
          <w:p w14:paraId="37D0DB43" w14:textId="1970AED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16,094.1</w:t>
            </w:r>
          </w:p>
        </w:tc>
        <w:tc>
          <w:tcPr>
            <w:tcW w:w="1616" w:type="dxa"/>
            <w:shd w:val="clear" w:color="auto" w:fill="FFC6CA"/>
            <w:noWrap/>
            <w:vAlign w:val="bottom"/>
          </w:tcPr>
          <w:p w14:paraId="62785EDF" w14:textId="3B9583B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0.07</w:t>
            </w:r>
          </w:p>
        </w:tc>
        <w:tc>
          <w:tcPr>
            <w:tcW w:w="1815" w:type="dxa"/>
            <w:shd w:val="clear" w:color="auto" w:fill="FFC6CA"/>
            <w:noWrap/>
            <w:vAlign w:val="bottom"/>
          </w:tcPr>
          <w:p w14:paraId="3EDC806E" w14:textId="6A017EB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0.25</w:t>
            </w:r>
          </w:p>
        </w:tc>
        <w:tc>
          <w:tcPr>
            <w:tcW w:w="1770" w:type="dxa"/>
            <w:shd w:val="clear" w:color="auto" w:fill="FFC6CA"/>
            <w:noWrap/>
            <w:vAlign w:val="bottom"/>
          </w:tcPr>
          <w:p w14:paraId="2C37D99F" w14:textId="61E4E7E0"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2.58</w:t>
            </w:r>
          </w:p>
        </w:tc>
        <w:tc>
          <w:tcPr>
            <w:tcW w:w="1605" w:type="dxa"/>
            <w:shd w:val="clear" w:color="auto" w:fill="FFC6CA"/>
            <w:noWrap/>
            <w:vAlign w:val="bottom"/>
          </w:tcPr>
          <w:p w14:paraId="75A4848C" w14:textId="1568730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17.31</w:t>
            </w:r>
          </w:p>
        </w:tc>
      </w:tr>
      <w:tr w:rsidR="007A3B71" w14:paraId="3FAC2E05" w14:textId="77777777" w:rsidTr="0047725D">
        <w:trPr>
          <w:trHeight w:val="299"/>
        </w:trPr>
        <w:tc>
          <w:tcPr>
            <w:cnfStyle w:val="001000000000" w:firstRow="0" w:lastRow="0" w:firstColumn="1" w:lastColumn="0" w:oddVBand="0" w:evenVBand="0" w:oddHBand="0" w:evenHBand="0" w:firstRowFirstColumn="0" w:firstRowLastColumn="0" w:lastRowFirstColumn="0" w:lastRowLastColumn="0"/>
            <w:tcW w:w="1809" w:type="dxa"/>
            <w:noWrap/>
          </w:tcPr>
          <w:p w14:paraId="4E778AF2"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法国CAC40</w:t>
            </w:r>
          </w:p>
        </w:tc>
        <w:tc>
          <w:tcPr>
            <w:tcW w:w="1560" w:type="dxa"/>
            <w:noWrap/>
            <w:vAlign w:val="bottom"/>
          </w:tcPr>
          <w:p w14:paraId="5B1A3DE1" w14:textId="20676C7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7,091.4</w:t>
            </w:r>
          </w:p>
        </w:tc>
        <w:tc>
          <w:tcPr>
            <w:tcW w:w="1616" w:type="dxa"/>
            <w:noWrap/>
            <w:vAlign w:val="bottom"/>
          </w:tcPr>
          <w:p w14:paraId="18C4C405" w14:textId="44C800A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0.45</w:t>
            </w:r>
          </w:p>
        </w:tc>
        <w:tc>
          <w:tcPr>
            <w:tcW w:w="1815" w:type="dxa"/>
            <w:noWrap/>
            <w:vAlign w:val="bottom"/>
          </w:tcPr>
          <w:p w14:paraId="4FA0C124" w14:textId="3BCF5F1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0.72</w:t>
            </w:r>
          </w:p>
        </w:tc>
        <w:tc>
          <w:tcPr>
            <w:tcW w:w="1770" w:type="dxa"/>
            <w:noWrap/>
            <w:vAlign w:val="bottom"/>
          </w:tcPr>
          <w:p w14:paraId="651E6D4C" w14:textId="38149F7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3.82</w:t>
            </w:r>
          </w:p>
        </w:tc>
        <w:tc>
          <w:tcPr>
            <w:tcW w:w="1605" w:type="dxa"/>
            <w:noWrap/>
            <w:vAlign w:val="bottom"/>
          </w:tcPr>
          <w:p w14:paraId="5B53FA0A" w14:textId="6732DDA8"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27.74</w:t>
            </w:r>
          </w:p>
        </w:tc>
      </w:tr>
      <w:tr w:rsidR="007A3B71" w14:paraId="4A0F0CB8"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809" w:type="dxa"/>
            <w:shd w:val="clear" w:color="auto" w:fill="FFC6CA"/>
            <w:noWrap/>
          </w:tcPr>
          <w:p w14:paraId="4B6E4E3B" w14:textId="77777777" w:rsidR="007A3B71" w:rsidRDefault="007A3B71" w:rsidP="007A3B71">
            <w:pPr>
              <w:widowControl/>
              <w:jc w:val="left"/>
              <w:rPr>
                <w:rFonts w:ascii="宋体" w:eastAsia="宋体" w:hAnsi="宋体"/>
                <w:sz w:val="18"/>
                <w:szCs w:val="18"/>
              </w:rPr>
            </w:pPr>
            <w:r>
              <w:rPr>
                <w:rFonts w:ascii="宋体" w:eastAsia="宋体" w:hAnsi="宋体"/>
                <w:sz w:val="18"/>
                <w:szCs w:val="18"/>
              </w:rPr>
              <w:t>日经225指数</w:t>
            </w:r>
          </w:p>
        </w:tc>
        <w:tc>
          <w:tcPr>
            <w:tcW w:w="1560" w:type="dxa"/>
            <w:shd w:val="clear" w:color="auto" w:fill="FFC6CA"/>
            <w:noWrap/>
            <w:vAlign w:val="bottom"/>
          </w:tcPr>
          <w:p w14:paraId="61BC1429" w14:textId="15599FE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29,610.0</w:t>
            </w:r>
          </w:p>
        </w:tc>
        <w:tc>
          <w:tcPr>
            <w:tcW w:w="1616" w:type="dxa"/>
            <w:shd w:val="clear" w:color="auto" w:fill="FFC6CA"/>
            <w:noWrap/>
            <w:vAlign w:val="bottom"/>
          </w:tcPr>
          <w:p w14:paraId="075E43DC" w14:textId="1AE63BB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1.13</w:t>
            </w:r>
          </w:p>
        </w:tc>
        <w:tc>
          <w:tcPr>
            <w:tcW w:w="1815" w:type="dxa"/>
            <w:shd w:val="clear" w:color="auto" w:fill="FFC6CA"/>
            <w:noWrap/>
            <w:vAlign w:val="bottom"/>
          </w:tcPr>
          <w:p w14:paraId="465E1607" w14:textId="70718D0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-0.01</w:t>
            </w:r>
          </w:p>
        </w:tc>
        <w:tc>
          <w:tcPr>
            <w:tcW w:w="1770" w:type="dxa"/>
            <w:shd w:val="clear" w:color="auto" w:fill="FFC6CA"/>
            <w:noWrap/>
            <w:vAlign w:val="bottom"/>
          </w:tcPr>
          <w:p w14:paraId="227FF2D8" w14:textId="629AF46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2.48</w:t>
            </w:r>
          </w:p>
        </w:tc>
        <w:tc>
          <w:tcPr>
            <w:tcW w:w="1605" w:type="dxa"/>
            <w:shd w:val="clear" w:color="auto" w:fill="FFC6CA"/>
            <w:noWrap/>
            <w:vAlign w:val="bottom"/>
          </w:tcPr>
          <w:p w14:paraId="21941C51" w14:textId="7642987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7.89</w:t>
            </w:r>
          </w:p>
        </w:tc>
      </w:tr>
    </w:tbl>
    <w:p w14:paraId="3E67B8A6" w14:textId="77777777" w:rsidR="00037E01" w:rsidRDefault="00204A8E">
      <w:pPr>
        <w:spacing w:afterLines="50" w:after="120"/>
        <w:rPr>
          <w:rFonts w:ascii="Times New Roman" w:eastAsia="楷体" w:hAnsi="Times New Roman" w:cs="Times New Roman"/>
          <w:i/>
          <w:iCs/>
          <w:sz w:val="18"/>
          <w:szCs w:val="18"/>
        </w:rPr>
      </w:pPr>
      <w:r>
        <w:rPr>
          <w:rFonts w:ascii="Times New Roman" w:eastAsia="楷体" w:hAnsi="Times New Roman" w:cs="Times New Roman"/>
          <w:i/>
          <w:iCs/>
          <w:sz w:val="18"/>
          <w:szCs w:val="18"/>
        </w:rPr>
        <w:t>资料来源：</w:t>
      </w:r>
      <w:r>
        <w:rPr>
          <w:rFonts w:ascii="Times New Roman" w:eastAsia="楷体" w:hAnsi="Times New Roman" w:cs="Times New Roman"/>
          <w:i/>
          <w:iCs/>
          <w:sz w:val="18"/>
          <w:szCs w:val="18"/>
        </w:rPr>
        <w:t>Wind</w:t>
      </w:r>
      <w:r>
        <w:rPr>
          <w:rFonts w:ascii="Times New Roman" w:eastAsia="楷体" w:hAnsi="Times New Roman" w:cs="Times New Roman"/>
          <w:i/>
          <w:iCs/>
          <w:sz w:val="18"/>
          <w:szCs w:val="18"/>
        </w:rPr>
        <w:t>，首创证券</w:t>
      </w:r>
      <w:bookmarkStart w:id="3" w:name="_Toc46847227"/>
    </w:p>
    <w:bookmarkEnd w:id="3"/>
    <w:p w14:paraId="2C238EEC" w14:textId="77777777" w:rsidR="00037E01" w:rsidRDefault="00204A8E">
      <w:pPr>
        <w:pStyle w:val="a3"/>
        <w:rPr>
          <w:rFonts w:cs="Times New Roman"/>
        </w:rPr>
      </w:pPr>
      <w:r>
        <w:rPr>
          <w:rFonts w:cs="Times New Roman"/>
        </w:rPr>
        <w:t>表</w:t>
      </w:r>
      <w:r>
        <w:rPr>
          <w:rFonts w:cs="Times New Roman"/>
        </w:rPr>
        <w:t xml:space="preserve"> 2 </w:t>
      </w:r>
      <w:r>
        <w:rPr>
          <w:rFonts w:cs="Times New Roman" w:hint="eastAsia"/>
        </w:rPr>
        <w:t>国际商品期货及波罗的海干散货指数</w:t>
      </w:r>
    </w:p>
    <w:tbl>
      <w:tblPr>
        <w:tblStyle w:val="4-11"/>
        <w:tblW w:w="10184" w:type="dxa"/>
        <w:tblLook w:val="04A0" w:firstRow="1" w:lastRow="0" w:firstColumn="1" w:lastColumn="0" w:noHBand="0" w:noVBand="1"/>
      </w:tblPr>
      <w:tblGrid>
        <w:gridCol w:w="1951"/>
        <w:gridCol w:w="1376"/>
        <w:gridCol w:w="1680"/>
        <w:gridCol w:w="1805"/>
        <w:gridCol w:w="1820"/>
        <w:gridCol w:w="1552"/>
      </w:tblGrid>
      <w:tr w:rsidR="00037E01" w14:paraId="676088B0" w14:textId="77777777" w:rsidTr="00037E01">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6B2ECCAC" w14:textId="77777777" w:rsidR="00037E01" w:rsidRDefault="00204A8E">
            <w:pPr>
              <w:widowControl/>
              <w:jc w:val="left"/>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商品期货名称</w:t>
            </w:r>
          </w:p>
        </w:tc>
        <w:tc>
          <w:tcPr>
            <w:tcW w:w="1376" w:type="dxa"/>
            <w:noWrap/>
          </w:tcPr>
          <w:p w14:paraId="7D6ED39F"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收盘点位</w:t>
            </w:r>
          </w:p>
        </w:tc>
        <w:tc>
          <w:tcPr>
            <w:tcW w:w="1680" w:type="dxa"/>
            <w:noWrap/>
          </w:tcPr>
          <w:p w14:paraId="1FB985C2"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涨跌幅（%）</w:t>
            </w:r>
          </w:p>
        </w:tc>
        <w:tc>
          <w:tcPr>
            <w:tcW w:w="1805" w:type="dxa"/>
            <w:noWrap/>
          </w:tcPr>
          <w:p w14:paraId="2B4D14DB"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1周涨跌幅（%）</w:t>
            </w:r>
          </w:p>
        </w:tc>
        <w:tc>
          <w:tcPr>
            <w:tcW w:w="1820" w:type="dxa"/>
            <w:noWrap/>
          </w:tcPr>
          <w:p w14:paraId="4725E3EF"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1个月涨跌幅（%）</w:t>
            </w:r>
          </w:p>
        </w:tc>
        <w:tc>
          <w:tcPr>
            <w:tcW w:w="1552" w:type="dxa"/>
            <w:noWrap/>
          </w:tcPr>
          <w:p w14:paraId="13A62184"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年涨跌幅（%）</w:t>
            </w:r>
          </w:p>
        </w:tc>
      </w:tr>
      <w:tr w:rsidR="007A3B71" w14:paraId="791C1769"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shd w:val="clear" w:color="auto" w:fill="FFC6CA"/>
            <w:noWrap/>
          </w:tcPr>
          <w:p w14:paraId="7D68A991" w14:textId="77777777" w:rsidR="007A3B71" w:rsidRDefault="007A3B71" w:rsidP="007A3B71">
            <w:pPr>
              <w:widowControl/>
              <w:jc w:val="left"/>
              <w:rPr>
                <w:rFonts w:ascii="Times New Roman" w:hAnsi="Times New Roman" w:cs="Times New Roman"/>
                <w:sz w:val="18"/>
                <w:szCs w:val="18"/>
              </w:rPr>
            </w:pPr>
            <w:r>
              <w:rPr>
                <w:rFonts w:ascii="Times New Roman" w:hAnsi="Times New Roman" w:cs="Times New Roman"/>
                <w:sz w:val="18"/>
                <w:szCs w:val="18"/>
              </w:rPr>
              <w:t>ICE</w:t>
            </w:r>
            <w:r>
              <w:rPr>
                <w:rFonts w:ascii="Times New Roman" w:hAnsi="Times New Roman" w:cs="Times New Roman"/>
                <w:sz w:val="18"/>
                <w:szCs w:val="18"/>
              </w:rPr>
              <w:t>布油</w:t>
            </w:r>
          </w:p>
        </w:tc>
        <w:tc>
          <w:tcPr>
            <w:tcW w:w="1376" w:type="dxa"/>
            <w:shd w:val="clear" w:color="auto" w:fill="FFC6CA"/>
            <w:noWrap/>
            <w:vAlign w:val="bottom"/>
          </w:tcPr>
          <w:p w14:paraId="333E1384" w14:textId="1C35E0F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81.95</w:t>
            </w:r>
          </w:p>
        </w:tc>
        <w:tc>
          <w:tcPr>
            <w:tcW w:w="1680" w:type="dxa"/>
            <w:shd w:val="clear" w:color="auto" w:fill="FFC6CA"/>
            <w:noWrap/>
            <w:vAlign w:val="bottom"/>
          </w:tcPr>
          <w:p w14:paraId="6F7F81E5" w14:textId="0C70F10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-1.11</w:t>
            </w:r>
          </w:p>
        </w:tc>
        <w:tc>
          <w:tcPr>
            <w:tcW w:w="1805" w:type="dxa"/>
            <w:shd w:val="clear" w:color="auto" w:fill="FFC6CA"/>
            <w:noWrap/>
            <w:vAlign w:val="bottom"/>
          </w:tcPr>
          <w:p w14:paraId="09A73152" w14:textId="70EF95EC"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-0.95</w:t>
            </w:r>
          </w:p>
        </w:tc>
        <w:tc>
          <w:tcPr>
            <w:tcW w:w="1820" w:type="dxa"/>
            <w:shd w:val="clear" w:color="auto" w:fill="FFC6CA"/>
            <w:noWrap/>
            <w:vAlign w:val="bottom"/>
          </w:tcPr>
          <w:p w14:paraId="6E1BC578" w14:textId="612674F0"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-3.26</w:t>
            </w:r>
          </w:p>
        </w:tc>
        <w:tc>
          <w:tcPr>
            <w:tcW w:w="1552" w:type="dxa"/>
            <w:shd w:val="clear" w:color="auto" w:fill="FFC6CA"/>
            <w:noWrap/>
            <w:vAlign w:val="bottom"/>
          </w:tcPr>
          <w:p w14:paraId="3A736CA7" w14:textId="71DB7CC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58.20</w:t>
            </w:r>
          </w:p>
        </w:tc>
      </w:tr>
      <w:tr w:rsidR="007A3B71" w14:paraId="29AD391D"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45BB01B1"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sz w:val="18"/>
                <w:szCs w:val="18"/>
              </w:rPr>
              <w:t>NYMEX原油</w:t>
            </w:r>
          </w:p>
        </w:tc>
        <w:tc>
          <w:tcPr>
            <w:tcW w:w="1376" w:type="dxa"/>
            <w:noWrap/>
            <w:vAlign w:val="bottom"/>
          </w:tcPr>
          <w:p w14:paraId="323CC888" w14:textId="25EE709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80.69</w:t>
            </w:r>
          </w:p>
        </w:tc>
        <w:tc>
          <w:tcPr>
            <w:tcW w:w="1680" w:type="dxa"/>
            <w:noWrap/>
            <w:vAlign w:val="bottom"/>
          </w:tcPr>
          <w:p w14:paraId="60E5CC17" w14:textId="1B68E7B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-1.10</w:t>
            </w:r>
          </w:p>
        </w:tc>
        <w:tc>
          <w:tcPr>
            <w:tcW w:w="1805" w:type="dxa"/>
            <w:noWrap/>
            <w:vAlign w:val="bottom"/>
          </w:tcPr>
          <w:p w14:paraId="6AD38185" w14:textId="392B4585"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-0.71</w:t>
            </w:r>
          </w:p>
        </w:tc>
        <w:tc>
          <w:tcPr>
            <w:tcW w:w="1820" w:type="dxa"/>
            <w:noWrap/>
            <w:vAlign w:val="bottom"/>
          </w:tcPr>
          <w:p w14:paraId="4F1CAC20" w14:textId="22CF4E2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-4.00</w:t>
            </w:r>
          </w:p>
        </w:tc>
        <w:tc>
          <w:tcPr>
            <w:tcW w:w="1552" w:type="dxa"/>
            <w:noWrap/>
            <w:vAlign w:val="bottom"/>
          </w:tcPr>
          <w:p w14:paraId="1A04152E" w14:textId="24AD1B6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66.30</w:t>
            </w:r>
          </w:p>
        </w:tc>
      </w:tr>
      <w:tr w:rsidR="007A3B71" w14:paraId="36BC016C"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shd w:val="clear" w:color="auto" w:fill="FFC6CA"/>
            <w:noWrap/>
          </w:tcPr>
          <w:p w14:paraId="7574D83C"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sz w:val="18"/>
                <w:szCs w:val="18"/>
              </w:rPr>
              <w:t>LME铜</w:t>
            </w:r>
          </w:p>
        </w:tc>
        <w:tc>
          <w:tcPr>
            <w:tcW w:w="1376" w:type="dxa"/>
            <w:shd w:val="clear" w:color="auto" w:fill="FFC6CA"/>
            <w:noWrap/>
            <w:vAlign w:val="bottom"/>
          </w:tcPr>
          <w:p w14:paraId="1E9879AC" w14:textId="539C567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9,745.50</w:t>
            </w:r>
          </w:p>
        </w:tc>
        <w:tc>
          <w:tcPr>
            <w:tcW w:w="1680" w:type="dxa"/>
            <w:shd w:val="clear" w:color="auto" w:fill="FFC6CA"/>
            <w:noWrap/>
            <w:vAlign w:val="bottom"/>
          </w:tcPr>
          <w:p w14:paraId="5A808955" w14:textId="6599B9F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1.16</w:t>
            </w:r>
          </w:p>
        </w:tc>
        <w:tc>
          <w:tcPr>
            <w:tcW w:w="1805" w:type="dxa"/>
            <w:shd w:val="clear" w:color="auto" w:fill="FFC6CA"/>
            <w:noWrap/>
            <w:vAlign w:val="bottom"/>
          </w:tcPr>
          <w:p w14:paraId="10217785" w14:textId="56B0006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2.39</w:t>
            </w:r>
          </w:p>
        </w:tc>
        <w:tc>
          <w:tcPr>
            <w:tcW w:w="1820" w:type="dxa"/>
            <w:shd w:val="clear" w:color="auto" w:fill="FFC6CA"/>
            <w:noWrap/>
            <w:vAlign w:val="bottom"/>
          </w:tcPr>
          <w:p w14:paraId="6EF2E388" w14:textId="296B833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1.99</w:t>
            </w:r>
          </w:p>
        </w:tc>
        <w:tc>
          <w:tcPr>
            <w:tcW w:w="1552" w:type="dxa"/>
            <w:shd w:val="clear" w:color="auto" w:fill="FFC6CA"/>
            <w:noWrap/>
            <w:vAlign w:val="bottom"/>
          </w:tcPr>
          <w:p w14:paraId="770FDDC7" w14:textId="5B00EE9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25.49</w:t>
            </w:r>
          </w:p>
        </w:tc>
      </w:tr>
      <w:tr w:rsidR="007A3B71" w14:paraId="6C204EBC"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658F55E3"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sz w:val="18"/>
                <w:szCs w:val="18"/>
              </w:rPr>
              <w:t>LME铝</w:t>
            </w:r>
          </w:p>
        </w:tc>
        <w:tc>
          <w:tcPr>
            <w:tcW w:w="1376" w:type="dxa"/>
            <w:noWrap/>
            <w:vAlign w:val="bottom"/>
          </w:tcPr>
          <w:p w14:paraId="46DED482" w14:textId="70B18D2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2,697.00</w:t>
            </w:r>
          </w:p>
        </w:tc>
        <w:tc>
          <w:tcPr>
            <w:tcW w:w="1680" w:type="dxa"/>
            <w:noWrap/>
            <w:vAlign w:val="bottom"/>
          </w:tcPr>
          <w:p w14:paraId="6D8B6068" w14:textId="17A2D10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1.39</w:t>
            </w:r>
          </w:p>
        </w:tc>
        <w:tc>
          <w:tcPr>
            <w:tcW w:w="1805" w:type="dxa"/>
            <w:noWrap/>
            <w:vAlign w:val="bottom"/>
          </w:tcPr>
          <w:p w14:paraId="16FE662D" w14:textId="54E7AFB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5.50</w:t>
            </w:r>
          </w:p>
        </w:tc>
        <w:tc>
          <w:tcPr>
            <w:tcW w:w="1820" w:type="dxa"/>
            <w:noWrap/>
            <w:vAlign w:val="bottom"/>
          </w:tcPr>
          <w:p w14:paraId="38A29182" w14:textId="54EA9D0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-0.83</w:t>
            </w:r>
          </w:p>
        </w:tc>
        <w:tc>
          <w:tcPr>
            <w:tcW w:w="1552" w:type="dxa"/>
            <w:noWrap/>
            <w:vAlign w:val="bottom"/>
          </w:tcPr>
          <w:p w14:paraId="4FB4F4CD" w14:textId="2AA03C2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36.25</w:t>
            </w:r>
          </w:p>
        </w:tc>
      </w:tr>
      <w:tr w:rsidR="007A3B71" w14:paraId="374D86E7"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shd w:val="clear" w:color="auto" w:fill="FFC6CA"/>
            <w:noWrap/>
          </w:tcPr>
          <w:p w14:paraId="2E798293"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sz w:val="18"/>
                <w:szCs w:val="18"/>
              </w:rPr>
              <w:t>LME锡</w:t>
            </w:r>
          </w:p>
        </w:tc>
        <w:tc>
          <w:tcPr>
            <w:tcW w:w="1376" w:type="dxa"/>
            <w:shd w:val="clear" w:color="auto" w:fill="FFC6CA"/>
            <w:noWrap/>
            <w:vAlign w:val="bottom"/>
          </w:tcPr>
          <w:p w14:paraId="06931A0C" w14:textId="64589A8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37,575.00</w:t>
            </w:r>
          </w:p>
        </w:tc>
        <w:tc>
          <w:tcPr>
            <w:tcW w:w="1680" w:type="dxa"/>
            <w:shd w:val="clear" w:color="auto" w:fill="FFC6CA"/>
            <w:noWrap/>
            <w:vAlign w:val="bottom"/>
          </w:tcPr>
          <w:p w14:paraId="545AED43" w14:textId="79DAED5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-0.35</w:t>
            </w:r>
          </w:p>
        </w:tc>
        <w:tc>
          <w:tcPr>
            <w:tcW w:w="1805" w:type="dxa"/>
            <w:shd w:val="clear" w:color="auto" w:fill="FFC6CA"/>
            <w:noWrap/>
            <w:vAlign w:val="bottom"/>
          </w:tcPr>
          <w:p w14:paraId="3F4D184E" w14:textId="7990B7C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1.39</w:t>
            </w:r>
          </w:p>
        </w:tc>
        <w:tc>
          <w:tcPr>
            <w:tcW w:w="1820" w:type="dxa"/>
            <w:shd w:val="clear" w:color="auto" w:fill="FFC6CA"/>
            <w:noWrap/>
            <w:vAlign w:val="bottom"/>
          </w:tcPr>
          <w:p w14:paraId="0BAA3092" w14:textId="10707D8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1.64</w:t>
            </w:r>
          </w:p>
        </w:tc>
        <w:tc>
          <w:tcPr>
            <w:tcW w:w="1552" w:type="dxa"/>
            <w:shd w:val="clear" w:color="auto" w:fill="FFC6CA"/>
            <w:noWrap/>
            <w:vAlign w:val="bottom"/>
          </w:tcPr>
          <w:p w14:paraId="1B16086A" w14:textId="6D1518F5"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84.87</w:t>
            </w:r>
          </w:p>
        </w:tc>
      </w:tr>
      <w:tr w:rsidR="007A3B71" w14:paraId="0B75A8EE"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343D0ED4"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sz w:val="18"/>
                <w:szCs w:val="18"/>
              </w:rPr>
              <w:t>LME锌</w:t>
            </w:r>
          </w:p>
        </w:tc>
        <w:tc>
          <w:tcPr>
            <w:tcW w:w="1376" w:type="dxa"/>
            <w:noWrap/>
            <w:vAlign w:val="bottom"/>
          </w:tcPr>
          <w:p w14:paraId="256EBCB9" w14:textId="7CB3002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3,267.00</w:t>
            </w:r>
          </w:p>
        </w:tc>
        <w:tc>
          <w:tcPr>
            <w:tcW w:w="1680" w:type="dxa"/>
            <w:noWrap/>
            <w:vAlign w:val="bottom"/>
          </w:tcPr>
          <w:p w14:paraId="244AD9A7" w14:textId="384A0FC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-0.37</w:t>
            </w:r>
          </w:p>
        </w:tc>
        <w:tc>
          <w:tcPr>
            <w:tcW w:w="1805" w:type="dxa"/>
            <w:noWrap/>
            <w:vAlign w:val="bottom"/>
          </w:tcPr>
          <w:p w14:paraId="668CAA57" w14:textId="4F83E31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1.19</w:t>
            </w:r>
          </w:p>
        </w:tc>
        <w:tc>
          <w:tcPr>
            <w:tcW w:w="1820" w:type="dxa"/>
            <w:noWrap/>
            <w:vAlign w:val="bottom"/>
          </w:tcPr>
          <w:p w14:paraId="3D6FC12B" w14:textId="294949C5"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-2.70</w:t>
            </w:r>
          </w:p>
        </w:tc>
        <w:tc>
          <w:tcPr>
            <w:tcW w:w="1552" w:type="dxa"/>
            <w:noWrap/>
            <w:vAlign w:val="bottom"/>
          </w:tcPr>
          <w:p w14:paraId="0352683D" w14:textId="3F5DC33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18.76</w:t>
            </w:r>
          </w:p>
        </w:tc>
      </w:tr>
      <w:tr w:rsidR="007A3B71" w14:paraId="660A7864"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shd w:val="clear" w:color="auto" w:fill="FFC6CA"/>
            <w:noWrap/>
          </w:tcPr>
          <w:p w14:paraId="3BDE71DA"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sz w:val="18"/>
                <w:szCs w:val="18"/>
              </w:rPr>
              <w:t>CBOT大豆</w:t>
            </w:r>
          </w:p>
        </w:tc>
        <w:tc>
          <w:tcPr>
            <w:tcW w:w="1376" w:type="dxa"/>
            <w:shd w:val="clear" w:color="auto" w:fill="FFC6CA"/>
            <w:noWrap/>
            <w:vAlign w:val="bottom"/>
          </w:tcPr>
          <w:p w14:paraId="5FC29C4A" w14:textId="0698E53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1,243.25</w:t>
            </w:r>
          </w:p>
        </w:tc>
        <w:tc>
          <w:tcPr>
            <w:tcW w:w="1680" w:type="dxa"/>
            <w:shd w:val="clear" w:color="auto" w:fill="FFC6CA"/>
            <w:noWrap/>
            <w:vAlign w:val="bottom"/>
          </w:tcPr>
          <w:p w14:paraId="47F2A736" w14:textId="716FBB4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1.78</w:t>
            </w:r>
          </w:p>
        </w:tc>
        <w:tc>
          <w:tcPr>
            <w:tcW w:w="1805" w:type="dxa"/>
            <w:shd w:val="clear" w:color="auto" w:fill="FFC6CA"/>
            <w:noWrap/>
            <w:vAlign w:val="bottom"/>
          </w:tcPr>
          <w:p w14:paraId="4305A4C6" w14:textId="2AAA007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3.13</w:t>
            </w:r>
          </w:p>
        </w:tc>
        <w:tc>
          <w:tcPr>
            <w:tcW w:w="1820" w:type="dxa"/>
            <w:shd w:val="clear" w:color="auto" w:fill="FFC6CA"/>
            <w:noWrap/>
            <w:vAlign w:val="bottom"/>
          </w:tcPr>
          <w:p w14:paraId="4A8F17D2" w14:textId="5E2872A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-0.42</w:t>
            </w:r>
          </w:p>
        </w:tc>
        <w:tc>
          <w:tcPr>
            <w:tcW w:w="1552" w:type="dxa"/>
            <w:shd w:val="clear" w:color="auto" w:fill="FFC6CA"/>
            <w:noWrap/>
            <w:vAlign w:val="bottom"/>
          </w:tcPr>
          <w:p w14:paraId="6E91AF99" w14:textId="07FE6FA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-5.17</w:t>
            </w:r>
          </w:p>
        </w:tc>
      </w:tr>
      <w:tr w:rsidR="007A3B71" w14:paraId="33902DF1"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3AB97F40" w14:textId="77777777" w:rsidR="007A3B71" w:rsidRDefault="007A3B71" w:rsidP="007A3B71">
            <w:pPr>
              <w:widowControl/>
              <w:jc w:val="left"/>
              <w:rPr>
                <w:rFonts w:ascii="宋体" w:eastAsia="宋体" w:hAnsi="宋体" w:cs="Times New Roman"/>
                <w:sz w:val="18"/>
                <w:szCs w:val="18"/>
              </w:rPr>
            </w:pPr>
            <w:r>
              <w:rPr>
                <w:rFonts w:ascii="宋体" w:eastAsia="宋体" w:hAnsi="宋体"/>
                <w:sz w:val="18"/>
                <w:szCs w:val="18"/>
              </w:rPr>
              <w:t>CBOT小麦</w:t>
            </w:r>
          </w:p>
        </w:tc>
        <w:tc>
          <w:tcPr>
            <w:tcW w:w="1376" w:type="dxa"/>
            <w:noWrap/>
            <w:vAlign w:val="bottom"/>
          </w:tcPr>
          <w:p w14:paraId="79539BCE" w14:textId="1A6D127C"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817.00</w:t>
            </w:r>
          </w:p>
        </w:tc>
        <w:tc>
          <w:tcPr>
            <w:tcW w:w="1680" w:type="dxa"/>
            <w:noWrap/>
            <w:vAlign w:val="bottom"/>
          </w:tcPr>
          <w:p w14:paraId="178D1AB6" w14:textId="526DDE8F"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0.55</w:t>
            </w:r>
          </w:p>
        </w:tc>
        <w:tc>
          <w:tcPr>
            <w:tcW w:w="1805" w:type="dxa"/>
            <w:noWrap/>
            <w:vAlign w:val="bottom"/>
          </w:tcPr>
          <w:p w14:paraId="1B4668C0" w14:textId="07F2A64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6.59</w:t>
            </w:r>
          </w:p>
        </w:tc>
        <w:tc>
          <w:tcPr>
            <w:tcW w:w="1820" w:type="dxa"/>
            <w:noWrap/>
            <w:vAlign w:val="bottom"/>
          </w:tcPr>
          <w:p w14:paraId="772D3CCD" w14:textId="32B9E20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2.48</w:t>
            </w:r>
          </w:p>
        </w:tc>
        <w:tc>
          <w:tcPr>
            <w:tcW w:w="1552" w:type="dxa"/>
            <w:noWrap/>
            <w:vAlign w:val="bottom"/>
          </w:tcPr>
          <w:p w14:paraId="1D828760" w14:textId="3E3DF2CC"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27.56</w:t>
            </w:r>
          </w:p>
        </w:tc>
      </w:tr>
      <w:tr w:rsidR="007A3B71" w14:paraId="68572AF1"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shd w:val="clear" w:color="auto" w:fill="FFC6CA"/>
            <w:noWrap/>
          </w:tcPr>
          <w:p w14:paraId="3D3F35A4" w14:textId="77777777" w:rsidR="007A3B71" w:rsidRDefault="007A3B71" w:rsidP="007A3B71">
            <w:pPr>
              <w:widowControl/>
              <w:jc w:val="left"/>
              <w:rPr>
                <w:rFonts w:ascii="宋体" w:eastAsia="宋体" w:hAnsi="宋体" w:cs="Times New Roman"/>
                <w:sz w:val="18"/>
                <w:szCs w:val="18"/>
              </w:rPr>
            </w:pPr>
            <w:r>
              <w:rPr>
                <w:rFonts w:ascii="宋体" w:eastAsia="宋体" w:hAnsi="宋体"/>
                <w:sz w:val="18"/>
                <w:szCs w:val="18"/>
              </w:rPr>
              <w:t>CBOT玉米</w:t>
            </w:r>
          </w:p>
        </w:tc>
        <w:tc>
          <w:tcPr>
            <w:tcW w:w="1376" w:type="dxa"/>
            <w:shd w:val="clear" w:color="auto" w:fill="FFC6CA"/>
            <w:noWrap/>
            <w:vAlign w:val="bottom"/>
          </w:tcPr>
          <w:p w14:paraId="3CF9AC2B" w14:textId="12882F9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577.50</w:t>
            </w:r>
          </w:p>
        </w:tc>
        <w:tc>
          <w:tcPr>
            <w:tcW w:w="1680" w:type="dxa"/>
            <w:shd w:val="clear" w:color="auto" w:fill="FFC6CA"/>
            <w:noWrap/>
            <w:vAlign w:val="bottom"/>
          </w:tcPr>
          <w:p w14:paraId="514ED46C" w14:textId="49A8A42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1.40</w:t>
            </w:r>
          </w:p>
        </w:tc>
        <w:tc>
          <w:tcPr>
            <w:tcW w:w="1805" w:type="dxa"/>
            <w:shd w:val="clear" w:color="auto" w:fill="FFC6CA"/>
            <w:noWrap/>
            <w:vAlign w:val="bottom"/>
          </w:tcPr>
          <w:p w14:paraId="5838152A" w14:textId="6326587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4.43</w:t>
            </w:r>
          </w:p>
        </w:tc>
        <w:tc>
          <w:tcPr>
            <w:tcW w:w="1820" w:type="dxa"/>
            <w:shd w:val="clear" w:color="auto" w:fill="FFC6CA"/>
            <w:noWrap/>
            <w:vAlign w:val="bottom"/>
          </w:tcPr>
          <w:p w14:paraId="7A90D59B" w14:textId="31A3F26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-0.26</w:t>
            </w:r>
          </w:p>
        </w:tc>
        <w:tc>
          <w:tcPr>
            <w:tcW w:w="1552" w:type="dxa"/>
            <w:shd w:val="clear" w:color="auto" w:fill="FFC6CA"/>
            <w:noWrap/>
            <w:vAlign w:val="bottom"/>
          </w:tcPr>
          <w:p w14:paraId="215F83FC" w14:textId="47968FD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19.32</w:t>
            </w:r>
          </w:p>
        </w:tc>
      </w:tr>
      <w:tr w:rsidR="007A3B71" w14:paraId="73ABC195" w14:textId="77777777" w:rsidTr="0082477E">
        <w:trPr>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73175BEE" w14:textId="77777777" w:rsidR="007A3B71" w:rsidRDefault="007A3B71" w:rsidP="007A3B71">
            <w:pPr>
              <w:widowControl/>
              <w:jc w:val="left"/>
              <w:rPr>
                <w:rFonts w:ascii="宋体" w:eastAsia="宋体" w:hAnsi="宋体" w:cs="Times New Roman"/>
                <w:sz w:val="18"/>
                <w:szCs w:val="18"/>
              </w:rPr>
            </w:pPr>
            <w:r>
              <w:rPr>
                <w:rFonts w:ascii="宋体" w:eastAsia="宋体" w:hAnsi="宋体"/>
                <w:sz w:val="18"/>
                <w:szCs w:val="18"/>
              </w:rPr>
              <w:t>ICE2号棉花</w:t>
            </w:r>
          </w:p>
        </w:tc>
        <w:tc>
          <w:tcPr>
            <w:tcW w:w="1376" w:type="dxa"/>
            <w:noWrap/>
            <w:vAlign w:val="bottom"/>
          </w:tcPr>
          <w:p w14:paraId="622EA761" w14:textId="63DB1A8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115.00</w:t>
            </w:r>
          </w:p>
        </w:tc>
        <w:tc>
          <w:tcPr>
            <w:tcW w:w="1680" w:type="dxa"/>
            <w:noWrap/>
            <w:vAlign w:val="bottom"/>
          </w:tcPr>
          <w:p w14:paraId="32D82010" w14:textId="6D226C4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-0.36</w:t>
            </w:r>
          </w:p>
        </w:tc>
        <w:tc>
          <w:tcPr>
            <w:tcW w:w="1805" w:type="dxa"/>
            <w:noWrap/>
            <w:vAlign w:val="bottom"/>
          </w:tcPr>
          <w:p w14:paraId="2852C7E7" w14:textId="005C576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-1.60</w:t>
            </w:r>
          </w:p>
        </w:tc>
        <w:tc>
          <w:tcPr>
            <w:tcW w:w="1820" w:type="dxa"/>
            <w:noWrap/>
            <w:vAlign w:val="bottom"/>
          </w:tcPr>
          <w:p w14:paraId="0ACBA457" w14:textId="62FCF09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-4.04</w:t>
            </w:r>
          </w:p>
        </w:tc>
        <w:tc>
          <w:tcPr>
            <w:tcW w:w="1552" w:type="dxa"/>
            <w:noWrap/>
            <w:vAlign w:val="bottom"/>
          </w:tcPr>
          <w:p w14:paraId="416C52A8" w14:textId="52C3F2F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47.21</w:t>
            </w:r>
          </w:p>
        </w:tc>
      </w:tr>
      <w:tr w:rsidR="007A3B71" w14:paraId="434BDA33"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951" w:type="dxa"/>
            <w:shd w:val="clear" w:color="auto" w:fill="FFC6CA"/>
            <w:noWrap/>
          </w:tcPr>
          <w:p w14:paraId="1F2E6712" w14:textId="77777777" w:rsidR="007A3B71" w:rsidRDefault="007A3B71" w:rsidP="007A3B71">
            <w:pPr>
              <w:widowControl/>
              <w:jc w:val="left"/>
              <w:rPr>
                <w:rFonts w:ascii="宋体" w:eastAsia="宋体" w:hAnsi="宋体" w:cs="Times New Roman"/>
                <w:sz w:val="18"/>
                <w:szCs w:val="18"/>
              </w:rPr>
            </w:pPr>
            <w:r>
              <w:rPr>
                <w:rFonts w:ascii="宋体" w:eastAsia="宋体" w:hAnsi="宋体"/>
                <w:sz w:val="18"/>
                <w:szCs w:val="18"/>
              </w:rPr>
              <w:t>CZCE棉花</w:t>
            </w:r>
          </w:p>
        </w:tc>
        <w:tc>
          <w:tcPr>
            <w:tcW w:w="1376" w:type="dxa"/>
            <w:shd w:val="clear" w:color="auto" w:fill="FFC6CA"/>
            <w:noWrap/>
            <w:vAlign w:val="bottom"/>
          </w:tcPr>
          <w:p w14:paraId="5234CD6B" w14:textId="18E12313"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21,370.00</w:t>
            </w:r>
          </w:p>
        </w:tc>
        <w:tc>
          <w:tcPr>
            <w:tcW w:w="1680" w:type="dxa"/>
            <w:shd w:val="clear" w:color="auto" w:fill="FFC6CA"/>
            <w:noWrap/>
            <w:vAlign w:val="bottom"/>
          </w:tcPr>
          <w:p w14:paraId="4EB95E55" w14:textId="1A55BB3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-1.25</w:t>
            </w:r>
          </w:p>
        </w:tc>
        <w:tc>
          <w:tcPr>
            <w:tcW w:w="1805" w:type="dxa"/>
            <w:shd w:val="clear" w:color="auto" w:fill="FFC6CA"/>
            <w:noWrap/>
            <w:vAlign w:val="bottom"/>
          </w:tcPr>
          <w:p w14:paraId="3864C243" w14:textId="1A85C5E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-0.28</w:t>
            </w:r>
          </w:p>
        </w:tc>
        <w:tc>
          <w:tcPr>
            <w:tcW w:w="1820" w:type="dxa"/>
            <w:shd w:val="clear" w:color="auto" w:fill="FFC6CA"/>
            <w:noWrap/>
            <w:vAlign w:val="bottom"/>
          </w:tcPr>
          <w:p w14:paraId="0C7D66F3" w14:textId="0D6FC08C"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-0.93</w:t>
            </w:r>
          </w:p>
        </w:tc>
        <w:tc>
          <w:tcPr>
            <w:tcW w:w="1552" w:type="dxa"/>
            <w:shd w:val="clear" w:color="auto" w:fill="FFC6CA"/>
            <w:noWrap/>
            <w:vAlign w:val="bottom"/>
          </w:tcPr>
          <w:p w14:paraId="41E32D40" w14:textId="41BF00E6"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41.66</w:t>
            </w:r>
          </w:p>
        </w:tc>
      </w:tr>
      <w:tr w:rsidR="007A3B71" w14:paraId="0A7B64F7"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4FFEAA39" w14:textId="77777777" w:rsidR="007A3B71" w:rsidRDefault="007A3B71" w:rsidP="007A3B71">
            <w:pPr>
              <w:widowControl/>
              <w:jc w:val="left"/>
              <w:rPr>
                <w:rFonts w:ascii="宋体" w:eastAsia="宋体" w:hAnsi="宋体" w:cs="Times New Roman"/>
                <w:sz w:val="18"/>
                <w:szCs w:val="18"/>
              </w:rPr>
            </w:pPr>
            <w:r>
              <w:rPr>
                <w:rFonts w:ascii="宋体" w:eastAsia="宋体" w:hAnsi="宋体"/>
                <w:sz w:val="18"/>
                <w:szCs w:val="18"/>
              </w:rPr>
              <w:t>CZCE白糖</w:t>
            </w:r>
          </w:p>
        </w:tc>
        <w:tc>
          <w:tcPr>
            <w:tcW w:w="1376" w:type="dxa"/>
            <w:noWrap/>
            <w:vAlign w:val="bottom"/>
          </w:tcPr>
          <w:p w14:paraId="77D5226C" w14:textId="24B950D0"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6,108.00</w:t>
            </w:r>
          </w:p>
        </w:tc>
        <w:tc>
          <w:tcPr>
            <w:tcW w:w="1680" w:type="dxa"/>
            <w:noWrap/>
            <w:vAlign w:val="bottom"/>
          </w:tcPr>
          <w:p w14:paraId="469681A5" w14:textId="5406D487"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0.79</w:t>
            </w:r>
          </w:p>
        </w:tc>
        <w:tc>
          <w:tcPr>
            <w:tcW w:w="1805" w:type="dxa"/>
            <w:noWrap/>
            <w:vAlign w:val="bottom"/>
          </w:tcPr>
          <w:p w14:paraId="16F86CE3" w14:textId="0E5EEF8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2.04</w:t>
            </w:r>
          </w:p>
        </w:tc>
        <w:tc>
          <w:tcPr>
            <w:tcW w:w="1820" w:type="dxa"/>
            <w:noWrap/>
            <w:vAlign w:val="bottom"/>
          </w:tcPr>
          <w:p w14:paraId="5376010D" w14:textId="17657BD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3.04</w:t>
            </w:r>
          </w:p>
        </w:tc>
        <w:tc>
          <w:tcPr>
            <w:tcW w:w="1552" w:type="dxa"/>
            <w:noWrap/>
            <w:vAlign w:val="bottom"/>
          </w:tcPr>
          <w:p w14:paraId="71133F97" w14:textId="46E147D8"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16.32</w:t>
            </w:r>
          </w:p>
        </w:tc>
      </w:tr>
      <w:tr w:rsidR="007A3B71" w14:paraId="13E950B4"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951" w:type="dxa"/>
            <w:shd w:val="clear" w:color="auto" w:fill="FFC6CA"/>
            <w:noWrap/>
          </w:tcPr>
          <w:p w14:paraId="3ADD1ACB" w14:textId="77777777" w:rsidR="007A3B71" w:rsidRDefault="007A3B71" w:rsidP="007A3B71">
            <w:pPr>
              <w:widowControl/>
              <w:jc w:val="left"/>
              <w:rPr>
                <w:rFonts w:ascii="宋体" w:eastAsia="宋体" w:hAnsi="宋体" w:cs="Times New Roman"/>
                <w:sz w:val="18"/>
                <w:szCs w:val="18"/>
              </w:rPr>
            </w:pPr>
            <w:bookmarkStart w:id="4" w:name="_Hlk86271855"/>
            <w:r>
              <w:rPr>
                <w:rFonts w:ascii="宋体" w:eastAsia="宋体" w:hAnsi="宋体" w:hint="eastAsia"/>
                <w:sz w:val="18"/>
                <w:szCs w:val="18"/>
              </w:rPr>
              <w:t>波罗的海干散货指数</w:t>
            </w:r>
          </w:p>
        </w:tc>
        <w:tc>
          <w:tcPr>
            <w:tcW w:w="1376" w:type="dxa"/>
            <w:shd w:val="clear" w:color="auto" w:fill="FFC6CA"/>
            <w:noWrap/>
            <w:vAlign w:val="bottom"/>
          </w:tcPr>
          <w:p w14:paraId="4F59A706" w14:textId="23976E90"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2,807.00</w:t>
            </w:r>
          </w:p>
        </w:tc>
        <w:tc>
          <w:tcPr>
            <w:tcW w:w="1680" w:type="dxa"/>
            <w:shd w:val="clear" w:color="auto" w:fill="FFC6CA"/>
            <w:noWrap/>
            <w:vAlign w:val="bottom"/>
          </w:tcPr>
          <w:p w14:paraId="3D6983BF" w14:textId="5D66BE80"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-1.30</w:t>
            </w:r>
          </w:p>
        </w:tc>
        <w:tc>
          <w:tcPr>
            <w:tcW w:w="1805" w:type="dxa"/>
            <w:shd w:val="clear" w:color="auto" w:fill="FFC6CA"/>
            <w:noWrap/>
            <w:vAlign w:val="bottom"/>
          </w:tcPr>
          <w:p w14:paraId="13F005D0" w14:textId="2CE302F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3.39</w:t>
            </w:r>
          </w:p>
        </w:tc>
        <w:tc>
          <w:tcPr>
            <w:tcW w:w="1820" w:type="dxa"/>
            <w:shd w:val="clear" w:color="auto" w:fill="FFC6CA"/>
            <w:noWrap/>
            <w:vAlign w:val="bottom"/>
          </w:tcPr>
          <w:p w14:paraId="7A1BC4B7" w14:textId="4C11A3E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-20.23</w:t>
            </w:r>
          </w:p>
        </w:tc>
        <w:tc>
          <w:tcPr>
            <w:tcW w:w="1552" w:type="dxa"/>
            <w:shd w:val="clear" w:color="auto" w:fill="FFC6CA"/>
            <w:noWrap/>
            <w:vAlign w:val="bottom"/>
          </w:tcPr>
          <w:p w14:paraId="16569D9D" w14:textId="50AFB00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105.49</w:t>
            </w:r>
          </w:p>
        </w:tc>
      </w:tr>
      <w:bookmarkEnd w:id="4"/>
      <w:tr w:rsidR="007A3B71" w14:paraId="591C2E43"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1951" w:type="dxa"/>
            <w:noWrap/>
          </w:tcPr>
          <w:p w14:paraId="78C9B37F" w14:textId="77777777" w:rsidR="007A3B71" w:rsidRDefault="007A3B71" w:rsidP="007A3B71">
            <w:pPr>
              <w:widowControl/>
              <w:jc w:val="left"/>
              <w:rPr>
                <w:rFonts w:ascii="宋体" w:eastAsia="宋体" w:hAnsi="宋体" w:cs="Times New Roman"/>
                <w:sz w:val="18"/>
                <w:szCs w:val="18"/>
              </w:rPr>
            </w:pPr>
            <w:r>
              <w:rPr>
                <w:rFonts w:ascii="宋体" w:eastAsia="宋体" w:hAnsi="宋体"/>
                <w:sz w:val="18"/>
                <w:szCs w:val="18"/>
              </w:rPr>
              <w:t>DCE铁矿石</w:t>
            </w:r>
          </w:p>
        </w:tc>
        <w:tc>
          <w:tcPr>
            <w:tcW w:w="1376" w:type="dxa"/>
            <w:noWrap/>
            <w:vAlign w:val="bottom"/>
          </w:tcPr>
          <w:p w14:paraId="6CF8127C" w14:textId="047D060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546.50</w:t>
            </w:r>
          </w:p>
        </w:tc>
        <w:tc>
          <w:tcPr>
            <w:tcW w:w="1680" w:type="dxa"/>
            <w:noWrap/>
            <w:vAlign w:val="bottom"/>
          </w:tcPr>
          <w:p w14:paraId="03EA08ED" w14:textId="3896AF18"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-1.62</w:t>
            </w:r>
          </w:p>
        </w:tc>
        <w:tc>
          <w:tcPr>
            <w:tcW w:w="1805" w:type="dxa"/>
            <w:noWrap/>
            <w:vAlign w:val="bottom"/>
          </w:tcPr>
          <w:p w14:paraId="44651289" w14:textId="20BAC2E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-2.84</w:t>
            </w:r>
          </w:p>
        </w:tc>
        <w:tc>
          <w:tcPr>
            <w:tcW w:w="1820" w:type="dxa"/>
            <w:noWrap/>
            <w:vAlign w:val="bottom"/>
          </w:tcPr>
          <w:p w14:paraId="7484F293" w14:textId="67E344E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-12.98</w:t>
            </w:r>
          </w:p>
        </w:tc>
        <w:tc>
          <w:tcPr>
            <w:tcW w:w="1552" w:type="dxa"/>
            <w:noWrap/>
            <w:vAlign w:val="bottom"/>
          </w:tcPr>
          <w:p w14:paraId="2B5AE551" w14:textId="0627D27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-44.60</w:t>
            </w:r>
          </w:p>
        </w:tc>
      </w:tr>
    </w:tbl>
    <w:p w14:paraId="2927B860" w14:textId="77777777" w:rsidR="00037E01" w:rsidRDefault="00204A8E">
      <w:pPr>
        <w:spacing w:afterLines="50" w:after="120"/>
        <w:rPr>
          <w:rFonts w:ascii="Times New Roman" w:eastAsia="楷体" w:hAnsi="Times New Roman" w:cs="Times New Roman"/>
          <w:i/>
          <w:iCs/>
          <w:sz w:val="18"/>
          <w:szCs w:val="18"/>
        </w:rPr>
      </w:pPr>
      <w:r>
        <w:rPr>
          <w:rFonts w:ascii="Times New Roman" w:eastAsia="楷体" w:hAnsi="Times New Roman" w:cs="Times New Roman"/>
          <w:i/>
          <w:iCs/>
          <w:sz w:val="18"/>
          <w:szCs w:val="18"/>
        </w:rPr>
        <w:t>资料来源：</w:t>
      </w:r>
      <w:r>
        <w:rPr>
          <w:rFonts w:ascii="Times New Roman" w:eastAsia="楷体" w:hAnsi="Times New Roman" w:cs="Times New Roman"/>
          <w:i/>
          <w:iCs/>
          <w:sz w:val="18"/>
          <w:szCs w:val="18"/>
        </w:rPr>
        <w:t>Wind</w:t>
      </w:r>
      <w:r>
        <w:rPr>
          <w:rFonts w:ascii="Times New Roman" w:eastAsia="楷体" w:hAnsi="Times New Roman" w:cs="Times New Roman"/>
          <w:i/>
          <w:iCs/>
          <w:sz w:val="18"/>
          <w:szCs w:val="18"/>
        </w:rPr>
        <w:t>，首创证券</w:t>
      </w:r>
    </w:p>
    <w:p w14:paraId="73D91443" w14:textId="77777777" w:rsidR="00037E01" w:rsidRDefault="00204A8E">
      <w:pPr>
        <w:pStyle w:val="a3"/>
        <w:rPr>
          <w:rFonts w:cs="Times New Roman"/>
        </w:rPr>
      </w:pPr>
      <w:r>
        <w:rPr>
          <w:rFonts w:cs="Times New Roman"/>
        </w:rPr>
        <w:t>表</w:t>
      </w:r>
      <w:r>
        <w:rPr>
          <w:rFonts w:cs="Times New Roman"/>
        </w:rPr>
        <w:t xml:space="preserve"> 3 </w:t>
      </w:r>
      <w:r>
        <w:rPr>
          <w:rFonts w:cs="Times New Roman" w:hint="eastAsia"/>
        </w:rPr>
        <w:t>美元指数及人民币兑国际主要货币中间价</w:t>
      </w:r>
    </w:p>
    <w:tbl>
      <w:tblPr>
        <w:tblStyle w:val="4-11"/>
        <w:tblW w:w="10184" w:type="dxa"/>
        <w:tblLook w:val="04A0" w:firstRow="1" w:lastRow="0" w:firstColumn="1" w:lastColumn="0" w:noHBand="0" w:noVBand="1"/>
      </w:tblPr>
      <w:tblGrid>
        <w:gridCol w:w="2518"/>
        <w:gridCol w:w="1559"/>
        <w:gridCol w:w="1560"/>
        <w:gridCol w:w="1559"/>
        <w:gridCol w:w="1559"/>
        <w:gridCol w:w="1429"/>
      </w:tblGrid>
      <w:tr w:rsidR="00037E01" w14:paraId="285D7506" w14:textId="77777777" w:rsidTr="00037E01">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18" w:type="dxa"/>
            <w:noWrap/>
          </w:tcPr>
          <w:p w14:paraId="69EB42ED" w14:textId="77777777" w:rsidR="00037E01" w:rsidRDefault="00204A8E">
            <w:pPr>
              <w:widowControl/>
              <w:jc w:val="left"/>
              <w:rPr>
                <w:rFonts w:ascii="宋体" w:eastAsia="宋体" w:hAnsi="宋体" w:cs="Times New Roman"/>
                <w:b w:val="0"/>
                <w:bCs w:val="0"/>
                <w:kern w:val="0"/>
                <w:sz w:val="18"/>
                <w:szCs w:val="18"/>
              </w:rPr>
            </w:pPr>
            <w:r>
              <w:rPr>
                <w:rFonts w:ascii="宋体" w:eastAsia="宋体" w:hAnsi="宋体" w:cs="Times New Roman" w:hint="eastAsia"/>
                <w:b w:val="0"/>
                <w:bCs w:val="0"/>
                <w:kern w:val="0"/>
                <w:sz w:val="18"/>
                <w:szCs w:val="18"/>
              </w:rPr>
              <w:t>汇率名称</w:t>
            </w:r>
          </w:p>
        </w:tc>
        <w:tc>
          <w:tcPr>
            <w:tcW w:w="1559" w:type="dxa"/>
            <w:noWrap/>
          </w:tcPr>
          <w:p w14:paraId="01737038"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收盘点位</w:t>
            </w:r>
          </w:p>
        </w:tc>
        <w:tc>
          <w:tcPr>
            <w:tcW w:w="1560" w:type="dxa"/>
            <w:noWrap/>
          </w:tcPr>
          <w:p w14:paraId="44A4B9F5"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涨跌幅（%）</w:t>
            </w:r>
          </w:p>
        </w:tc>
        <w:tc>
          <w:tcPr>
            <w:tcW w:w="1559" w:type="dxa"/>
            <w:noWrap/>
          </w:tcPr>
          <w:p w14:paraId="7E7ECCE2"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1周涨跌幅（%）</w:t>
            </w:r>
          </w:p>
        </w:tc>
        <w:tc>
          <w:tcPr>
            <w:tcW w:w="1559" w:type="dxa"/>
            <w:noWrap/>
          </w:tcPr>
          <w:p w14:paraId="61870072"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1个月涨跌幅（%）</w:t>
            </w:r>
          </w:p>
        </w:tc>
        <w:tc>
          <w:tcPr>
            <w:tcW w:w="1429" w:type="dxa"/>
            <w:noWrap/>
          </w:tcPr>
          <w:p w14:paraId="1329097B" w14:textId="77777777" w:rsidR="00037E01" w:rsidRDefault="00204A8E">
            <w:pPr>
              <w:widowControl/>
              <w:jc w:val="left"/>
              <w:cnfStyle w:val="100000000000" w:firstRow="1" w:lastRow="0" w:firstColumn="0" w:lastColumn="0" w:oddVBand="0" w:evenVBand="0" w:oddHBand="0" w:evenHBand="0" w:firstRowFirstColumn="0" w:firstRowLastColumn="0" w:lastRowFirstColumn="0" w:lastRowLastColumn="0"/>
              <w:rPr>
                <w:rFonts w:ascii="宋体" w:eastAsia="宋体" w:hAnsi="宋体" w:cs="Times New Roman"/>
                <w:b w:val="0"/>
                <w:bCs w:val="0"/>
                <w:kern w:val="0"/>
                <w:sz w:val="18"/>
                <w:szCs w:val="18"/>
              </w:rPr>
            </w:pPr>
            <w:r>
              <w:rPr>
                <w:rFonts w:ascii="宋体" w:eastAsia="宋体" w:hAnsi="宋体" w:cs="Times New Roman"/>
                <w:b w:val="0"/>
                <w:bCs w:val="0"/>
                <w:kern w:val="0"/>
                <w:sz w:val="18"/>
                <w:szCs w:val="18"/>
              </w:rPr>
              <w:t>年涨跌幅（%）</w:t>
            </w:r>
          </w:p>
        </w:tc>
      </w:tr>
      <w:tr w:rsidR="007A3B71" w14:paraId="51D5FBA3"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2518" w:type="dxa"/>
            <w:shd w:val="clear" w:color="auto" w:fill="FFC6CA"/>
            <w:noWrap/>
          </w:tcPr>
          <w:p w14:paraId="245F29A5"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hint="eastAsia"/>
                <w:sz w:val="18"/>
                <w:szCs w:val="18"/>
              </w:rPr>
              <w:t>美元指数</w:t>
            </w:r>
          </w:p>
        </w:tc>
        <w:tc>
          <w:tcPr>
            <w:tcW w:w="1559" w:type="dxa"/>
            <w:shd w:val="clear" w:color="auto" w:fill="FFC6CA"/>
            <w:noWrap/>
            <w:vAlign w:val="bottom"/>
          </w:tcPr>
          <w:p w14:paraId="71CD56D6" w14:textId="3268A31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95.12</w:t>
            </w:r>
          </w:p>
        </w:tc>
        <w:tc>
          <w:tcPr>
            <w:tcW w:w="1560" w:type="dxa"/>
            <w:shd w:val="clear" w:color="auto" w:fill="FFC6CA"/>
            <w:noWrap/>
            <w:vAlign w:val="bottom"/>
          </w:tcPr>
          <w:p w14:paraId="6D893CE9" w14:textId="5EC3D7A8" w:rsidR="007A3B71" w:rsidRP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-0.04</w:t>
            </w:r>
          </w:p>
        </w:tc>
        <w:tc>
          <w:tcPr>
            <w:tcW w:w="1559" w:type="dxa"/>
            <w:shd w:val="clear" w:color="auto" w:fill="FFC6CA"/>
            <w:noWrap/>
            <w:vAlign w:val="bottom"/>
          </w:tcPr>
          <w:p w14:paraId="44F2A982" w14:textId="02CBC06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0.95</w:t>
            </w:r>
          </w:p>
        </w:tc>
        <w:tc>
          <w:tcPr>
            <w:tcW w:w="1559" w:type="dxa"/>
            <w:shd w:val="clear" w:color="auto" w:fill="FFC6CA"/>
            <w:noWrap/>
            <w:vAlign w:val="bottom"/>
          </w:tcPr>
          <w:p w14:paraId="2C5DCB9A" w14:textId="0EF9D26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1.04</w:t>
            </w:r>
          </w:p>
        </w:tc>
        <w:tc>
          <w:tcPr>
            <w:tcW w:w="1429" w:type="dxa"/>
            <w:shd w:val="clear" w:color="auto" w:fill="FFC6CA"/>
            <w:noWrap/>
            <w:vAlign w:val="bottom"/>
          </w:tcPr>
          <w:p w14:paraId="25589196" w14:textId="18AAF59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5.73</w:t>
            </w:r>
          </w:p>
        </w:tc>
      </w:tr>
      <w:tr w:rsidR="007A3B71" w14:paraId="4E8F993B"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2518" w:type="dxa"/>
            <w:noWrap/>
          </w:tcPr>
          <w:p w14:paraId="19237562"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hint="eastAsia"/>
                <w:sz w:val="18"/>
                <w:szCs w:val="18"/>
              </w:rPr>
              <w:t>美元兑人民币</w:t>
            </w:r>
            <w:r>
              <w:rPr>
                <w:rFonts w:ascii="宋体" w:eastAsia="宋体" w:hAnsi="宋体"/>
                <w:sz w:val="18"/>
                <w:szCs w:val="18"/>
              </w:rPr>
              <w:t>(CFETS)</w:t>
            </w:r>
          </w:p>
        </w:tc>
        <w:tc>
          <w:tcPr>
            <w:tcW w:w="1559" w:type="dxa"/>
            <w:noWrap/>
            <w:vAlign w:val="bottom"/>
          </w:tcPr>
          <w:p w14:paraId="005AE9ED" w14:textId="4194D3F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6.39</w:t>
            </w:r>
          </w:p>
        </w:tc>
        <w:tc>
          <w:tcPr>
            <w:tcW w:w="1560" w:type="dxa"/>
            <w:noWrap/>
            <w:vAlign w:val="bottom"/>
          </w:tcPr>
          <w:p w14:paraId="3ACCDADA" w14:textId="1300D9FE"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-0.23</w:t>
            </w:r>
          </w:p>
        </w:tc>
        <w:tc>
          <w:tcPr>
            <w:tcW w:w="1559" w:type="dxa"/>
            <w:noWrap/>
            <w:vAlign w:val="bottom"/>
          </w:tcPr>
          <w:p w14:paraId="5FF4A80C" w14:textId="79B380AD"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-0.17</w:t>
            </w:r>
          </w:p>
        </w:tc>
        <w:tc>
          <w:tcPr>
            <w:tcW w:w="1559" w:type="dxa"/>
            <w:noWrap/>
            <w:vAlign w:val="bottom"/>
          </w:tcPr>
          <w:p w14:paraId="47DFCE31" w14:textId="5154EE8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-0.17</w:t>
            </w:r>
          </w:p>
        </w:tc>
        <w:tc>
          <w:tcPr>
            <w:tcW w:w="1429" w:type="dxa"/>
            <w:noWrap/>
            <w:vAlign w:val="bottom"/>
          </w:tcPr>
          <w:p w14:paraId="6FF614F9" w14:textId="13D473D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-2.29</w:t>
            </w:r>
          </w:p>
        </w:tc>
      </w:tr>
      <w:tr w:rsidR="007A3B71" w14:paraId="2E8665C0"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2518" w:type="dxa"/>
            <w:shd w:val="clear" w:color="auto" w:fill="FFC6CA"/>
            <w:noWrap/>
          </w:tcPr>
          <w:p w14:paraId="75F6412D"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hint="eastAsia"/>
                <w:sz w:val="18"/>
                <w:szCs w:val="18"/>
              </w:rPr>
              <w:t>欧元兑人民币</w:t>
            </w:r>
            <w:r>
              <w:rPr>
                <w:rFonts w:ascii="宋体" w:eastAsia="宋体" w:hAnsi="宋体"/>
                <w:sz w:val="18"/>
                <w:szCs w:val="18"/>
              </w:rPr>
              <w:t>(CFETS)</w:t>
            </w:r>
          </w:p>
        </w:tc>
        <w:tc>
          <w:tcPr>
            <w:tcW w:w="1559" w:type="dxa"/>
            <w:shd w:val="clear" w:color="auto" w:fill="FFC6CA"/>
            <w:noWrap/>
            <w:vAlign w:val="bottom"/>
          </w:tcPr>
          <w:p w14:paraId="032F45E6" w14:textId="720B1DF5"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7.32</w:t>
            </w:r>
          </w:p>
        </w:tc>
        <w:tc>
          <w:tcPr>
            <w:tcW w:w="1560" w:type="dxa"/>
            <w:shd w:val="clear" w:color="auto" w:fill="FFC6CA"/>
            <w:noWrap/>
            <w:vAlign w:val="bottom"/>
          </w:tcPr>
          <w:p w14:paraId="4799476B" w14:textId="4011FBC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-0.35</w:t>
            </w:r>
          </w:p>
        </w:tc>
        <w:tc>
          <w:tcPr>
            <w:tcW w:w="1559" w:type="dxa"/>
            <w:shd w:val="clear" w:color="auto" w:fill="FFC6CA"/>
            <w:noWrap/>
            <w:vAlign w:val="bottom"/>
          </w:tcPr>
          <w:p w14:paraId="5E55BCEC" w14:textId="0CABD9E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-1.11</w:t>
            </w:r>
          </w:p>
        </w:tc>
        <w:tc>
          <w:tcPr>
            <w:tcW w:w="1559" w:type="dxa"/>
            <w:shd w:val="clear" w:color="auto" w:fill="FFC6CA"/>
            <w:noWrap/>
            <w:vAlign w:val="bottom"/>
          </w:tcPr>
          <w:p w14:paraId="1A3D8D8B" w14:textId="2098CC3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-1.99</w:t>
            </w:r>
          </w:p>
        </w:tc>
        <w:tc>
          <w:tcPr>
            <w:tcW w:w="1429" w:type="dxa"/>
            <w:shd w:val="clear" w:color="auto" w:fill="FFC6CA"/>
            <w:noWrap/>
            <w:vAlign w:val="bottom"/>
          </w:tcPr>
          <w:p w14:paraId="466BBEE0" w14:textId="1905609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-9.00</w:t>
            </w:r>
          </w:p>
        </w:tc>
      </w:tr>
      <w:tr w:rsidR="007A3B71" w14:paraId="360916AF"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2518" w:type="dxa"/>
            <w:noWrap/>
          </w:tcPr>
          <w:p w14:paraId="74FA5070"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hint="eastAsia"/>
                <w:sz w:val="18"/>
                <w:szCs w:val="18"/>
              </w:rPr>
              <w:t>日元兑人民币</w:t>
            </w:r>
            <w:r>
              <w:rPr>
                <w:rFonts w:ascii="宋体" w:eastAsia="宋体" w:hAnsi="宋体"/>
                <w:sz w:val="18"/>
                <w:szCs w:val="18"/>
              </w:rPr>
              <w:t>(CFETS)</w:t>
            </w:r>
          </w:p>
        </w:tc>
        <w:tc>
          <w:tcPr>
            <w:tcW w:w="1559" w:type="dxa"/>
            <w:noWrap/>
            <w:vAlign w:val="bottom"/>
          </w:tcPr>
          <w:p w14:paraId="41ECC2C9" w14:textId="09BAC6F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5.60</w:t>
            </w:r>
          </w:p>
        </w:tc>
        <w:tc>
          <w:tcPr>
            <w:tcW w:w="1560" w:type="dxa"/>
            <w:noWrap/>
            <w:vAlign w:val="bottom"/>
          </w:tcPr>
          <w:p w14:paraId="32F97AA7" w14:textId="3499BCA8"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-0.20</w:t>
            </w:r>
          </w:p>
        </w:tc>
        <w:tc>
          <w:tcPr>
            <w:tcW w:w="1559" w:type="dxa"/>
            <w:noWrap/>
            <w:vAlign w:val="bottom"/>
          </w:tcPr>
          <w:p w14:paraId="27E32625" w14:textId="2B12E15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-0.40</w:t>
            </w:r>
          </w:p>
        </w:tc>
        <w:tc>
          <w:tcPr>
            <w:tcW w:w="1559" w:type="dxa"/>
            <w:noWrap/>
            <w:vAlign w:val="bottom"/>
          </w:tcPr>
          <w:p w14:paraId="503B2C3D" w14:textId="55D4882F"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-0.35</w:t>
            </w:r>
          </w:p>
        </w:tc>
        <w:tc>
          <w:tcPr>
            <w:tcW w:w="1429" w:type="dxa"/>
            <w:noWrap/>
            <w:vAlign w:val="bottom"/>
          </w:tcPr>
          <w:p w14:paraId="091CEEFD" w14:textId="2CA79ABB"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-11.65</w:t>
            </w:r>
          </w:p>
        </w:tc>
      </w:tr>
      <w:tr w:rsidR="007A3B71" w14:paraId="08E1C9E3"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2518" w:type="dxa"/>
            <w:shd w:val="clear" w:color="auto" w:fill="FFC6CA"/>
            <w:noWrap/>
          </w:tcPr>
          <w:p w14:paraId="15B808F3"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hint="eastAsia"/>
                <w:sz w:val="18"/>
                <w:szCs w:val="18"/>
              </w:rPr>
              <w:t>英镑兑人民币</w:t>
            </w:r>
            <w:r>
              <w:rPr>
                <w:rFonts w:ascii="宋体" w:eastAsia="宋体" w:hAnsi="宋体"/>
                <w:sz w:val="18"/>
                <w:szCs w:val="18"/>
              </w:rPr>
              <w:t>(CFETS)</w:t>
            </w:r>
          </w:p>
        </w:tc>
        <w:tc>
          <w:tcPr>
            <w:tcW w:w="1559" w:type="dxa"/>
            <w:shd w:val="clear" w:color="auto" w:fill="FFC6CA"/>
            <w:noWrap/>
            <w:vAlign w:val="bottom"/>
          </w:tcPr>
          <w:p w14:paraId="503C0FCB" w14:textId="375FA48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8.56</w:t>
            </w:r>
          </w:p>
        </w:tc>
        <w:tc>
          <w:tcPr>
            <w:tcW w:w="1560" w:type="dxa"/>
            <w:shd w:val="clear" w:color="auto" w:fill="FFC6CA"/>
            <w:noWrap/>
            <w:vAlign w:val="bottom"/>
          </w:tcPr>
          <w:p w14:paraId="2B36BD75" w14:textId="633CA9A0"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-0.13</w:t>
            </w:r>
          </w:p>
        </w:tc>
        <w:tc>
          <w:tcPr>
            <w:tcW w:w="1559" w:type="dxa"/>
            <w:shd w:val="clear" w:color="auto" w:fill="FFC6CA"/>
            <w:noWrap/>
            <w:vAlign w:val="bottom"/>
          </w:tcPr>
          <w:p w14:paraId="6E0EFBC1" w14:textId="3DA57B39"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-0.76</w:t>
            </w:r>
          </w:p>
        </w:tc>
        <w:tc>
          <w:tcPr>
            <w:tcW w:w="1559" w:type="dxa"/>
            <w:shd w:val="clear" w:color="auto" w:fill="FFC6CA"/>
            <w:noWrap/>
            <w:vAlign w:val="bottom"/>
          </w:tcPr>
          <w:p w14:paraId="4FDD1B8A" w14:textId="7841DF18"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-2.88</w:t>
            </w:r>
          </w:p>
        </w:tc>
        <w:tc>
          <w:tcPr>
            <w:tcW w:w="1429" w:type="dxa"/>
            <w:shd w:val="clear" w:color="auto" w:fill="FFC6CA"/>
            <w:noWrap/>
            <w:vAlign w:val="bottom"/>
          </w:tcPr>
          <w:p w14:paraId="707663DB" w14:textId="55397D72"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-4.10</w:t>
            </w:r>
          </w:p>
        </w:tc>
      </w:tr>
      <w:tr w:rsidR="007A3B71" w14:paraId="39FE748F" w14:textId="77777777" w:rsidTr="00037E01">
        <w:trPr>
          <w:trHeight w:val="299"/>
        </w:trPr>
        <w:tc>
          <w:tcPr>
            <w:cnfStyle w:val="001000000000" w:firstRow="0" w:lastRow="0" w:firstColumn="1" w:lastColumn="0" w:oddVBand="0" w:evenVBand="0" w:oddHBand="0" w:evenHBand="0" w:firstRowFirstColumn="0" w:firstRowLastColumn="0" w:lastRowFirstColumn="0" w:lastRowLastColumn="0"/>
            <w:tcW w:w="2518" w:type="dxa"/>
            <w:noWrap/>
          </w:tcPr>
          <w:p w14:paraId="590AD0B8" w14:textId="77777777" w:rsidR="007A3B71" w:rsidRDefault="007A3B71" w:rsidP="007A3B71">
            <w:pPr>
              <w:widowControl/>
              <w:jc w:val="left"/>
              <w:rPr>
                <w:rFonts w:ascii="宋体" w:eastAsia="宋体" w:hAnsi="宋体" w:cs="Times New Roman"/>
                <w:kern w:val="0"/>
                <w:sz w:val="18"/>
                <w:szCs w:val="18"/>
              </w:rPr>
            </w:pPr>
            <w:r>
              <w:rPr>
                <w:rFonts w:ascii="宋体" w:eastAsia="宋体" w:hAnsi="宋体" w:hint="eastAsia"/>
                <w:sz w:val="18"/>
                <w:szCs w:val="18"/>
              </w:rPr>
              <w:t>港币兑人民币</w:t>
            </w:r>
            <w:r>
              <w:rPr>
                <w:rFonts w:ascii="宋体" w:eastAsia="宋体" w:hAnsi="宋体"/>
                <w:sz w:val="18"/>
                <w:szCs w:val="18"/>
              </w:rPr>
              <w:t>(CFETS)</w:t>
            </w:r>
          </w:p>
        </w:tc>
        <w:tc>
          <w:tcPr>
            <w:tcW w:w="1559" w:type="dxa"/>
            <w:noWrap/>
            <w:vAlign w:val="bottom"/>
          </w:tcPr>
          <w:p w14:paraId="0EF61915" w14:textId="06A592BA"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0.82</w:t>
            </w:r>
          </w:p>
        </w:tc>
        <w:tc>
          <w:tcPr>
            <w:tcW w:w="1560" w:type="dxa"/>
            <w:noWrap/>
            <w:vAlign w:val="bottom"/>
          </w:tcPr>
          <w:p w14:paraId="122D063C" w14:textId="60E08D1C"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-0.23</w:t>
            </w:r>
          </w:p>
        </w:tc>
        <w:tc>
          <w:tcPr>
            <w:tcW w:w="1559" w:type="dxa"/>
            <w:noWrap/>
            <w:vAlign w:val="bottom"/>
          </w:tcPr>
          <w:p w14:paraId="6454E9D6" w14:textId="03A4F34F"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-0.29</w:t>
            </w:r>
          </w:p>
        </w:tc>
        <w:tc>
          <w:tcPr>
            <w:tcW w:w="1559" w:type="dxa"/>
            <w:noWrap/>
            <w:vAlign w:val="bottom"/>
          </w:tcPr>
          <w:p w14:paraId="289B9FDE" w14:textId="0815E084"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-0.36</w:t>
            </w:r>
          </w:p>
        </w:tc>
        <w:tc>
          <w:tcPr>
            <w:tcW w:w="1429" w:type="dxa"/>
            <w:noWrap/>
            <w:vAlign w:val="bottom"/>
          </w:tcPr>
          <w:p w14:paraId="7550DB6A" w14:textId="67150401" w:rsidR="007A3B71" w:rsidRDefault="007A3B71" w:rsidP="007A3B71">
            <w:pPr>
              <w:widowControl/>
              <w:jc w:val="right"/>
              <w:textAlignment w:val="bottom"/>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18"/>
                <w:szCs w:val="18"/>
                <w:lang w:bidi="ar"/>
              </w:rPr>
            </w:pPr>
            <w:r w:rsidRPr="007A3B71">
              <w:rPr>
                <w:rFonts w:ascii="Times New Roman" w:eastAsia="DengXian" w:hAnsi="Times New Roman" w:cs="Times New Roman" w:hint="eastAsia"/>
                <w:color w:val="000000"/>
                <w:kern w:val="0"/>
                <w:sz w:val="18"/>
                <w:szCs w:val="18"/>
                <w:lang w:bidi="ar"/>
              </w:rPr>
              <w:t>-2.71</w:t>
            </w:r>
          </w:p>
        </w:tc>
      </w:tr>
    </w:tbl>
    <w:p w14:paraId="71CA5FF2" w14:textId="77777777" w:rsidR="00037E01" w:rsidRDefault="00204A8E">
      <w:pPr>
        <w:spacing w:afterLines="50" w:after="120"/>
        <w:rPr>
          <w:rFonts w:ascii="Times New Roman" w:eastAsia="楷体" w:hAnsi="Times New Roman" w:cs="Times New Roman"/>
          <w:i/>
          <w:iCs/>
          <w:sz w:val="18"/>
          <w:szCs w:val="18"/>
        </w:rPr>
      </w:pPr>
      <w:r>
        <w:rPr>
          <w:rFonts w:ascii="Times New Roman" w:eastAsia="楷体" w:hAnsi="Times New Roman" w:cs="Times New Roman"/>
          <w:i/>
          <w:iCs/>
          <w:sz w:val="18"/>
          <w:szCs w:val="18"/>
        </w:rPr>
        <w:t>资料来源：</w:t>
      </w:r>
      <w:r>
        <w:rPr>
          <w:rFonts w:ascii="Times New Roman" w:eastAsia="楷体" w:hAnsi="Times New Roman" w:cs="Times New Roman"/>
          <w:i/>
          <w:iCs/>
          <w:sz w:val="18"/>
          <w:szCs w:val="18"/>
        </w:rPr>
        <w:t>Wind</w:t>
      </w:r>
      <w:r>
        <w:rPr>
          <w:rFonts w:ascii="Times New Roman" w:eastAsia="楷体" w:hAnsi="Times New Roman" w:cs="Times New Roman"/>
          <w:i/>
          <w:iCs/>
          <w:sz w:val="18"/>
          <w:szCs w:val="18"/>
        </w:rPr>
        <w:t>，首创证券</w:t>
      </w:r>
    </w:p>
    <w:p w14:paraId="7BCFCA7C" w14:textId="77777777" w:rsidR="00037E01" w:rsidRDefault="00037E01">
      <w:pPr>
        <w:pStyle w:val="a3"/>
        <w:rPr>
          <w:rFonts w:cs="Times New Roman"/>
        </w:rPr>
      </w:pPr>
    </w:p>
    <w:p w14:paraId="6D97F5C0" w14:textId="77777777" w:rsidR="00037E01" w:rsidRDefault="00037E01">
      <w:pPr>
        <w:spacing w:afterLines="50" w:after="120"/>
        <w:rPr>
          <w:rFonts w:ascii="Times New Roman" w:eastAsia="楷体" w:hAnsi="Times New Roman" w:cs="Times New Roman"/>
          <w:color w:val="333333"/>
          <w:shd w:val="clear" w:color="auto" w:fill="FFFFFF"/>
        </w:rPr>
      </w:pPr>
    </w:p>
    <w:p w14:paraId="79BBA695" w14:textId="77777777" w:rsidR="00037E01" w:rsidRDefault="00204A8E">
      <w:pPr>
        <w:pStyle w:val="a3"/>
        <w:rPr>
          <w:rFonts w:cs="Times New Roman"/>
        </w:rPr>
      </w:pPr>
      <w:r>
        <w:rPr>
          <w:rFonts w:cs="Times New Roman"/>
        </w:rPr>
        <w:lastRenderedPageBreak/>
        <w:t>表</w:t>
      </w:r>
      <w:r>
        <w:rPr>
          <w:rFonts w:cs="Times New Roman"/>
        </w:rPr>
        <w:t xml:space="preserve"> </w:t>
      </w:r>
      <w:r>
        <w:rPr>
          <w:rFonts w:cs="Times New Roman" w:hint="eastAsia"/>
        </w:rPr>
        <w:t>4</w:t>
      </w:r>
      <w:r>
        <w:rPr>
          <w:rFonts w:cs="Times New Roman"/>
        </w:rPr>
        <w:t xml:space="preserve"> </w:t>
      </w:r>
      <w:r>
        <w:rPr>
          <w:rFonts w:cs="Times New Roman" w:hint="eastAsia"/>
        </w:rPr>
        <w:t>沪股通前十大活跃个股明细</w:t>
      </w:r>
    </w:p>
    <w:tbl>
      <w:tblPr>
        <w:tblStyle w:val="4-11"/>
        <w:tblW w:w="4880" w:type="pct"/>
        <w:tblLayout w:type="fixed"/>
        <w:tblLook w:val="04A0" w:firstRow="1" w:lastRow="0" w:firstColumn="1" w:lastColumn="0" w:noHBand="0" w:noVBand="1"/>
      </w:tblPr>
      <w:tblGrid>
        <w:gridCol w:w="1116"/>
        <w:gridCol w:w="1033"/>
        <w:gridCol w:w="1172"/>
        <w:gridCol w:w="887"/>
        <w:gridCol w:w="539"/>
        <w:gridCol w:w="1318"/>
        <w:gridCol w:w="1131"/>
        <w:gridCol w:w="938"/>
        <w:gridCol w:w="1170"/>
        <w:gridCol w:w="866"/>
      </w:tblGrid>
      <w:tr w:rsidR="00037E01" w14:paraId="4D711300" w14:textId="77777777" w:rsidTr="00037E0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49" w:type="pct"/>
            <w:noWrap/>
          </w:tcPr>
          <w:p w14:paraId="2EF28842" w14:textId="77777777" w:rsidR="00037E01" w:rsidRDefault="00204A8E">
            <w:pPr>
              <w:widowControl/>
              <w:jc w:val="center"/>
              <w:rPr>
                <w:rFonts w:ascii="宋体" w:eastAsia="宋体" w:hAnsi="宋体" w:cs="宋体"/>
                <w:kern w:val="0"/>
                <w:sz w:val="18"/>
                <w:szCs w:val="18"/>
              </w:rPr>
            </w:pPr>
            <w:r>
              <w:rPr>
                <w:rFonts w:ascii="宋体" w:eastAsia="宋体" w:hAnsi="宋体" w:cs="宋体" w:hint="eastAsia"/>
                <w:b w:val="0"/>
                <w:bCs w:val="0"/>
                <w:kern w:val="0"/>
                <w:sz w:val="18"/>
                <w:szCs w:val="18"/>
              </w:rPr>
              <w:t>代码</w:t>
            </w:r>
          </w:p>
        </w:tc>
        <w:tc>
          <w:tcPr>
            <w:tcW w:w="508" w:type="pct"/>
            <w:noWrap/>
          </w:tcPr>
          <w:p w14:paraId="296215A2"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证券名称</w:t>
            </w:r>
          </w:p>
        </w:tc>
        <w:tc>
          <w:tcPr>
            <w:tcW w:w="576" w:type="pct"/>
            <w:noWrap/>
          </w:tcPr>
          <w:p w14:paraId="32E4B088"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交易日期</w:t>
            </w:r>
          </w:p>
        </w:tc>
        <w:tc>
          <w:tcPr>
            <w:tcW w:w="436" w:type="pct"/>
            <w:noWrap/>
          </w:tcPr>
          <w:p w14:paraId="0A553298"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类型</w:t>
            </w:r>
          </w:p>
        </w:tc>
        <w:tc>
          <w:tcPr>
            <w:tcW w:w="265" w:type="pct"/>
            <w:noWrap/>
          </w:tcPr>
          <w:p w14:paraId="018294E4"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排名</w:t>
            </w:r>
          </w:p>
        </w:tc>
        <w:tc>
          <w:tcPr>
            <w:tcW w:w="648" w:type="pct"/>
            <w:noWrap/>
          </w:tcPr>
          <w:p w14:paraId="09968DA1"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合计买卖总额(亿)</w:t>
            </w:r>
          </w:p>
        </w:tc>
        <w:tc>
          <w:tcPr>
            <w:tcW w:w="556" w:type="pct"/>
            <w:noWrap/>
          </w:tcPr>
          <w:p w14:paraId="6FC3FFB3"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买入金额(亿)</w:t>
            </w:r>
          </w:p>
        </w:tc>
        <w:tc>
          <w:tcPr>
            <w:tcW w:w="461" w:type="pct"/>
            <w:noWrap/>
          </w:tcPr>
          <w:p w14:paraId="4D3573CB"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卖出金额(亿)</w:t>
            </w:r>
          </w:p>
        </w:tc>
        <w:tc>
          <w:tcPr>
            <w:tcW w:w="575" w:type="pct"/>
            <w:noWrap/>
          </w:tcPr>
          <w:p w14:paraId="16A81B6C"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成交净买入(亿)</w:t>
            </w:r>
          </w:p>
        </w:tc>
        <w:tc>
          <w:tcPr>
            <w:tcW w:w="426" w:type="pct"/>
            <w:noWrap/>
          </w:tcPr>
          <w:p w14:paraId="4A30CE8F"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收盘价</w:t>
            </w:r>
          </w:p>
        </w:tc>
      </w:tr>
      <w:tr w:rsidR="007A3B71" w14:paraId="00A0993C"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shd w:val="clear" w:color="auto" w:fill="FFC6CA"/>
            <w:noWrap/>
            <w:vAlign w:val="bottom"/>
          </w:tcPr>
          <w:p w14:paraId="05F2B2AE" w14:textId="1EC9BBDF"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601012.SH</w:t>
            </w:r>
          </w:p>
        </w:tc>
        <w:tc>
          <w:tcPr>
            <w:tcW w:w="508" w:type="pct"/>
            <w:shd w:val="clear" w:color="auto" w:fill="FFC6CA"/>
            <w:noWrap/>
            <w:vAlign w:val="bottom"/>
          </w:tcPr>
          <w:p w14:paraId="4ABD8238" w14:textId="76A724F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隆基股份</w:t>
            </w:r>
          </w:p>
        </w:tc>
        <w:tc>
          <w:tcPr>
            <w:tcW w:w="576" w:type="pct"/>
            <w:shd w:val="clear" w:color="auto" w:fill="FFC6CA"/>
            <w:noWrap/>
            <w:vAlign w:val="bottom"/>
          </w:tcPr>
          <w:p w14:paraId="63398358" w14:textId="5C2B5B0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3070C17A" w14:textId="40948FAB"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shd w:val="clear" w:color="auto" w:fill="FFC6CA"/>
            <w:noWrap/>
            <w:vAlign w:val="bottom"/>
          </w:tcPr>
          <w:p w14:paraId="70BB3E7B" w14:textId="3F959F5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w:t>
            </w:r>
          </w:p>
        </w:tc>
        <w:tc>
          <w:tcPr>
            <w:tcW w:w="648" w:type="pct"/>
            <w:shd w:val="clear" w:color="auto" w:fill="FFC6CA"/>
            <w:noWrap/>
            <w:vAlign w:val="bottom"/>
          </w:tcPr>
          <w:p w14:paraId="5A58FABB" w14:textId="53FC5C9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16.2113</w:t>
            </w:r>
          </w:p>
        </w:tc>
        <w:tc>
          <w:tcPr>
            <w:tcW w:w="556" w:type="pct"/>
            <w:shd w:val="clear" w:color="auto" w:fill="FFC6CA"/>
            <w:noWrap/>
            <w:vAlign w:val="bottom"/>
          </w:tcPr>
          <w:p w14:paraId="2297B020" w14:textId="03BA747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8.1120</w:t>
            </w:r>
          </w:p>
        </w:tc>
        <w:tc>
          <w:tcPr>
            <w:tcW w:w="461" w:type="pct"/>
            <w:shd w:val="clear" w:color="auto" w:fill="FFC6CA"/>
            <w:noWrap/>
            <w:vAlign w:val="bottom"/>
          </w:tcPr>
          <w:p w14:paraId="304C8D73" w14:textId="7933FAA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8.0993</w:t>
            </w:r>
          </w:p>
        </w:tc>
        <w:tc>
          <w:tcPr>
            <w:tcW w:w="575" w:type="pct"/>
            <w:shd w:val="clear" w:color="auto" w:fill="FFC6CA"/>
            <w:noWrap/>
            <w:vAlign w:val="bottom"/>
          </w:tcPr>
          <w:p w14:paraId="03DB35BF" w14:textId="2F43324E"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0.0127</w:t>
            </w:r>
          </w:p>
        </w:tc>
        <w:tc>
          <w:tcPr>
            <w:tcW w:w="426" w:type="pct"/>
            <w:shd w:val="clear" w:color="auto" w:fill="FFC6CA"/>
            <w:noWrap/>
            <w:vAlign w:val="bottom"/>
          </w:tcPr>
          <w:p w14:paraId="0BA98003" w14:textId="1B4029E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94.77</w:t>
            </w:r>
          </w:p>
        </w:tc>
      </w:tr>
      <w:tr w:rsidR="007A3B71" w14:paraId="3707FAB6"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noWrap/>
            <w:vAlign w:val="bottom"/>
          </w:tcPr>
          <w:p w14:paraId="2C23315F" w14:textId="3A4AF636"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600887.SH</w:t>
            </w:r>
          </w:p>
        </w:tc>
        <w:tc>
          <w:tcPr>
            <w:tcW w:w="508" w:type="pct"/>
            <w:noWrap/>
            <w:vAlign w:val="bottom"/>
          </w:tcPr>
          <w:p w14:paraId="5D29C12F" w14:textId="34D0A37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伊利股份</w:t>
            </w:r>
          </w:p>
        </w:tc>
        <w:tc>
          <w:tcPr>
            <w:tcW w:w="576" w:type="pct"/>
            <w:noWrap/>
            <w:vAlign w:val="bottom"/>
          </w:tcPr>
          <w:p w14:paraId="25E50BD8" w14:textId="3130B01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5F041E81" w14:textId="40BF0A4E"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noWrap/>
            <w:vAlign w:val="bottom"/>
          </w:tcPr>
          <w:p w14:paraId="3C132E2E" w14:textId="6CF7763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w:t>
            </w:r>
          </w:p>
        </w:tc>
        <w:tc>
          <w:tcPr>
            <w:tcW w:w="648" w:type="pct"/>
            <w:noWrap/>
            <w:vAlign w:val="bottom"/>
          </w:tcPr>
          <w:p w14:paraId="46DF6317" w14:textId="7D25606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16.0888</w:t>
            </w:r>
          </w:p>
        </w:tc>
        <w:tc>
          <w:tcPr>
            <w:tcW w:w="556" w:type="pct"/>
            <w:noWrap/>
            <w:vAlign w:val="bottom"/>
          </w:tcPr>
          <w:p w14:paraId="02E95508" w14:textId="26F1DB1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10.9385</w:t>
            </w:r>
          </w:p>
        </w:tc>
        <w:tc>
          <w:tcPr>
            <w:tcW w:w="461" w:type="pct"/>
            <w:noWrap/>
            <w:vAlign w:val="bottom"/>
          </w:tcPr>
          <w:p w14:paraId="4C6FC80E" w14:textId="6A70278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5.1503</w:t>
            </w:r>
          </w:p>
        </w:tc>
        <w:tc>
          <w:tcPr>
            <w:tcW w:w="575" w:type="pct"/>
            <w:noWrap/>
            <w:vAlign w:val="bottom"/>
          </w:tcPr>
          <w:p w14:paraId="775AAB1C" w14:textId="6B040C7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5.7882</w:t>
            </w:r>
          </w:p>
        </w:tc>
        <w:tc>
          <w:tcPr>
            <w:tcW w:w="426" w:type="pct"/>
            <w:noWrap/>
            <w:vAlign w:val="bottom"/>
          </w:tcPr>
          <w:p w14:paraId="6C6342D6" w14:textId="5B96E41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42.00</w:t>
            </w:r>
          </w:p>
        </w:tc>
      </w:tr>
      <w:tr w:rsidR="007A3B71" w14:paraId="744FE4E4"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shd w:val="clear" w:color="auto" w:fill="FFC6CA"/>
            <w:noWrap/>
            <w:vAlign w:val="bottom"/>
          </w:tcPr>
          <w:p w14:paraId="4829F268" w14:textId="429443B2"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600406.SH</w:t>
            </w:r>
          </w:p>
        </w:tc>
        <w:tc>
          <w:tcPr>
            <w:tcW w:w="508" w:type="pct"/>
            <w:shd w:val="clear" w:color="auto" w:fill="FFC6CA"/>
            <w:noWrap/>
            <w:vAlign w:val="bottom"/>
          </w:tcPr>
          <w:p w14:paraId="0C4554E7" w14:textId="0F9E4B4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国电南瑞</w:t>
            </w:r>
          </w:p>
        </w:tc>
        <w:tc>
          <w:tcPr>
            <w:tcW w:w="576" w:type="pct"/>
            <w:shd w:val="clear" w:color="auto" w:fill="FFC6CA"/>
            <w:noWrap/>
            <w:vAlign w:val="bottom"/>
          </w:tcPr>
          <w:p w14:paraId="5AD6E294" w14:textId="7630ADC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00BF3E9B" w14:textId="4F81615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shd w:val="clear" w:color="auto" w:fill="FFC6CA"/>
            <w:noWrap/>
            <w:vAlign w:val="bottom"/>
          </w:tcPr>
          <w:p w14:paraId="43D176EE" w14:textId="1FFB727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w:t>
            </w:r>
          </w:p>
        </w:tc>
        <w:tc>
          <w:tcPr>
            <w:tcW w:w="648" w:type="pct"/>
            <w:shd w:val="clear" w:color="auto" w:fill="FFC6CA"/>
            <w:noWrap/>
            <w:vAlign w:val="bottom"/>
          </w:tcPr>
          <w:p w14:paraId="55CC7243" w14:textId="3B50705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10.2175</w:t>
            </w:r>
          </w:p>
        </w:tc>
        <w:tc>
          <w:tcPr>
            <w:tcW w:w="556" w:type="pct"/>
            <w:shd w:val="clear" w:color="auto" w:fill="FFC6CA"/>
            <w:noWrap/>
            <w:vAlign w:val="bottom"/>
          </w:tcPr>
          <w:p w14:paraId="1F484590" w14:textId="62DE157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4.4696</w:t>
            </w:r>
          </w:p>
        </w:tc>
        <w:tc>
          <w:tcPr>
            <w:tcW w:w="461" w:type="pct"/>
            <w:shd w:val="clear" w:color="auto" w:fill="FFC6CA"/>
            <w:noWrap/>
            <w:vAlign w:val="bottom"/>
          </w:tcPr>
          <w:p w14:paraId="32A17B42" w14:textId="4461F07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5.7479</w:t>
            </w:r>
          </w:p>
        </w:tc>
        <w:tc>
          <w:tcPr>
            <w:tcW w:w="575" w:type="pct"/>
            <w:shd w:val="clear" w:color="auto" w:fill="FFC6CA"/>
            <w:noWrap/>
            <w:vAlign w:val="bottom"/>
          </w:tcPr>
          <w:p w14:paraId="78025390" w14:textId="0BCCD1B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-1.2784</w:t>
            </w:r>
          </w:p>
        </w:tc>
        <w:tc>
          <w:tcPr>
            <w:tcW w:w="426" w:type="pct"/>
            <w:shd w:val="clear" w:color="auto" w:fill="FFC6CA"/>
            <w:noWrap/>
            <w:vAlign w:val="bottom"/>
          </w:tcPr>
          <w:p w14:paraId="0C4CAB2F" w14:textId="4A38F1E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39.00</w:t>
            </w:r>
          </w:p>
        </w:tc>
      </w:tr>
      <w:tr w:rsidR="007A3B71" w14:paraId="48F523E2"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noWrap/>
            <w:vAlign w:val="bottom"/>
          </w:tcPr>
          <w:p w14:paraId="380CEF39" w14:textId="22A3C6F7"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600519.SH</w:t>
            </w:r>
          </w:p>
        </w:tc>
        <w:tc>
          <w:tcPr>
            <w:tcW w:w="508" w:type="pct"/>
            <w:noWrap/>
            <w:vAlign w:val="bottom"/>
          </w:tcPr>
          <w:p w14:paraId="634222DD" w14:textId="381A79F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贵州茅台</w:t>
            </w:r>
          </w:p>
        </w:tc>
        <w:tc>
          <w:tcPr>
            <w:tcW w:w="576" w:type="pct"/>
            <w:noWrap/>
            <w:vAlign w:val="bottom"/>
          </w:tcPr>
          <w:p w14:paraId="7B406B39" w14:textId="63E1461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715E5BF8" w14:textId="71DBF0F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noWrap/>
            <w:vAlign w:val="bottom"/>
          </w:tcPr>
          <w:p w14:paraId="4BFB3972" w14:textId="6A7D70F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w:t>
            </w:r>
          </w:p>
        </w:tc>
        <w:tc>
          <w:tcPr>
            <w:tcW w:w="648" w:type="pct"/>
            <w:noWrap/>
            <w:vAlign w:val="bottom"/>
          </w:tcPr>
          <w:p w14:paraId="7FD7AA18" w14:textId="08CAD85B"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9.4330</w:t>
            </w:r>
          </w:p>
        </w:tc>
        <w:tc>
          <w:tcPr>
            <w:tcW w:w="556" w:type="pct"/>
            <w:noWrap/>
            <w:vAlign w:val="bottom"/>
          </w:tcPr>
          <w:p w14:paraId="0FA55933" w14:textId="2FCA319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6.4018</w:t>
            </w:r>
          </w:p>
        </w:tc>
        <w:tc>
          <w:tcPr>
            <w:tcW w:w="461" w:type="pct"/>
            <w:noWrap/>
            <w:vAlign w:val="bottom"/>
          </w:tcPr>
          <w:p w14:paraId="555BC461" w14:textId="7495AB1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3.0312</w:t>
            </w:r>
          </w:p>
        </w:tc>
        <w:tc>
          <w:tcPr>
            <w:tcW w:w="575" w:type="pct"/>
            <w:noWrap/>
            <w:vAlign w:val="bottom"/>
          </w:tcPr>
          <w:p w14:paraId="3C89A8B0" w14:textId="1E01052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3.3706</w:t>
            </w:r>
          </w:p>
        </w:tc>
        <w:tc>
          <w:tcPr>
            <w:tcW w:w="426" w:type="pct"/>
            <w:noWrap/>
            <w:vAlign w:val="bottom"/>
          </w:tcPr>
          <w:p w14:paraId="08192D8D" w14:textId="5BD728F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1,773.78</w:t>
            </w:r>
          </w:p>
        </w:tc>
      </w:tr>
      <w:tr w:rsidR="007A3B71" w14:paraId="318E4676"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shd w:val="clear" w:color="auto" w:fill="FFC6CA"/>
            <w:noWrap/>
            <w:vAlign w:val="bottom"/>
          </w:tcPr>
          <w:p w14:paraId="7F6E6EA3" w14:textId="3D9621AB"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600048.SH</w:t>
            </w:r>
          </w:p>
        </w:tc>
        <w:tc>
          <w:tcPr>
            <w:tcW w:w="508" w:type="pct"/>
            <w:shd w:val="clear" w:color="auto" w:fill="FFC6CA"/>
            <w:noWrap/>
            <w:vAlign w:val="bottom"/>
          </w:tcPr>
          <w:p w14:paraId="4A9765BD" w14:textId="7ADAD58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保利发展</w:t>
            </w:r>
          </w:p>
        </w:tc>
        <w:tc>
          <w:tcPr>
            <w:tcW w:w="576" w:type="pct"/>
            <w:shd w:val="clear" w:color="auto" w:fill="FFC6CA"/>
            <w:noWrap/>
            <w:vAlign w:val="bottom"/>
          </w:tcPr>
          <w:p w14:paraId="2D26EDAF" w14:textId="4181AEF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49792D3D" w14:textId="3B30F10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shd w:val="clear" w:color="auto" w:fill="FFC6CA"/>
            <w:noWrap/>
            <w:vAlign w:val="bottom"/>
          </w:tcPr>
          <w:p w14:paraId="48C94EC2" w14:textId="6ED36CA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w:t>
            </w:r>
          </w:p>
        </w:tc>
        <w:tc>
          <w:tcPr>
            <w:tcW w:w="648" w:type="pct"/>
            <w:shd w:val="clear" w:color="auto" w:fill="FFC6CA"/>
            <w:noWrap/>
            <w:vAlign w:val="bottom"/>
          </w:tcPr>
          <w:p w14:paraId="6DDF3AE5" w14:textId="488D7A2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9.1224</w:t>
            </w:r>
          </w:p>
        </w:tc>
        <w:tc>
          <w:tcPr>
            <w:tcW w:w="556" w:type="pct"/>
            <w:shd w:val="clear" w:color="auto" w:fill="FFC6CA"/>
            <w:noWrap/>
            <w:vAlign w:val="bottom"/>
          </w:tcPr>
          <w:p w14:paraId="27E35BE7" w14:textId="14510E6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6.1769</w:t>
            </w:r>
          </w:p>
        </w:tc>
        <w:tc>
          <w:tcPr>
            <w:tcW w:w="461" w:type="pct"/>
            <w:shd w:val="clear" w:color="auto" w:fill="FFC6CA"/>
            <w:noWrap/>
            <w:vAlign w:val="bottom"/>
          </w:tcPr>
          <w:p w14:paraId="5849785F" w14:textId="45CAD69B"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2.9455</w:t>
            </w:r>
          </w:p>
        </w:tc>
        <w:tc>
          <w:tcPr>
            <w:tcW w:w="575" w:type="pct"/>
            <w:shd w:val="clear" w:color="auto" w:fill="FFC6CA"/>
            <w:noWrap/>
            <w:vAlign w:val="bottom"/>
          </w:tcPr>
          <w:p w14:paraId="159BAAFB" w14:textId="0682E33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3.2314</w:t>
            </w:r>
          </w:p>
        </w:tc>
        <w:tc>
          <w:tcPr>
            <w:tcW w:w="426" w:type="pct"/>
            <w:shd w:val="clear" w:color="auto" w:fill="FFC6CA"/>
            <w:noWrap/>
            <w:vAlign w:val="bottom"/>
          </w:tcPr>
          <w:p w14:paraId="0FFB2A31" w14:textId="1D8F644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14.87</w:t>
            </w:r>
          </w:p>
        </w:tc>
      </w:tr>
      <w:tr w:rsidR="007A3B71" w14:paraId="1EF56EA6"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noWrap/>
            <w:vAlign w:val="bottom"/>
          </w:tcPr>
          <w:p w14:paraId="3A31DA3C" w14:textId="1DF581E8"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601888.SH</w:t>
            </w:r>
          </w:p>
        </w:tc>
        <w:tc>
          <w:tcPr>
            <w:tcW w:w="508" w:type="pct"/>
            <w:noWrap/>
            <w:vAlign w:val="bottom"/>
          </w:tcPr>
          <w:p w14:paraId="258E0092" w14:textId="0BF4A97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中国中免</w:t>
            </w:r>
          </w:p>
        </w:tc>
        <w:tc>
          <w:tcPr>
            <w:tcW w:w="576" w:type="pct"/>
            <w:noWrap/>
            <w:vAlign w:val="bottom"/>
          </w:tcPr>
          <w:p w14:paraId="53B8B389" w14:textId="7BEA515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6FCC6815" w14:textId="22E7479E"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noWrap/>
            <w:vAlign w:val="bottom"/>
          </w:tcPr>
          <w:p w14:paraId="0FC1DB41" w14:textId="02B1A7F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w:t>
            </w:r>
          </w:p>
        </w:tc>
        <w:tc>
          <w:tcPr>
            <w:tcW w:w="648" w:type="pct"/>
            <w:noWrap/>
            <w:vAlign w:val="bottom"/>
          </w:tcPr>
          <w:p w14:paraId="1B04F633" w14:textId="576CC20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8.7537</w:t>
            </w:r>
          </w:p>
        </w:tc>
        <w:tc>
          <w:tcPr>
            <w:tcW w:w="556" w:type="pct"/>
            <w:noWrap/>
            <w:vAlign w:val="bottom"/>
          </w:tcPr>
          <w:p w14:paraId="2865D51A" w14:textId="2181E4A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3.7910</w:t>
            </w:r>
          </w:p>
        </w:tc>
        <w:tc>
          <w:tcPr>
            <w:tcW w:w="461" w:type="pct"/>
            <w:noWrap/>
            <w:vAlign w:val="bottom"/>
          </w:tcPr>
          <w:p w14:paraId="65AD005D" w14:textId="7F2F768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4.9627</w:t>
            </w:r>
          </w:p>
        </w:tc>
        <w:tc>
          <w:tcPr>
            <w:tcW w:w="575" w:type="pct"/>
            <w:noWrap/>
            <w:vAlign w:val="bottom"/>
          </w:tcPr>
          <w:p w14:paraId="38F3D949" w14:textId="30DC9B5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-1.1718</w:t>
            </w:r>
          </w:p>
        </w:tc>
        <w:tc>
          <w:tcPr>
            <w:tcW w:w="426" w:type="pct"/>
            <w:noWrap/>
            <w:vAlign w:val="bottom"/>
          </w:tcPr>
          <w:p w14:paraId="7DE395C4" w14:textId="597B23A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223.56</w:t>
            </w:r>
          </w:p>
        </w:tc>
      </w:tr>
      <w:tr w:rsidR="007A3B71" w14:paraId="670EC433"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shd w:val="clear" w:color="auto" w:fill="FFC6CA"/>
            <w:noWrap/>
            <w:vAlign w:val="bottom"/>
          </w:tcPr>
          <w:p w14:paraId="48A2A641" w14:textId="44FA2FAB"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600690.SH</w:t>
            </w:r>
          </w:p>
        </w:tc>
        <w:tc>
          <w:tcPr>
            <w:tcW w:w="508" w:type="pct"/>
            <w:shd w:val="clear" w:color="auto" w:fill="FFC6CA"/>
            <w:noWrap/>
            <w:vAlign w:val="bottom"/>
          </w:tcPr>
          <w:p w14:paraId="22D0DE30" w14:textId="1A52416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海尔智家</w:t>
            </w:r>
          </w:p>
        </w:tc>
        <w:tc>
          <w:tcPr>
            <w:tcW w:w="576" w:type="pct"/>
            <w:shd w:val="clear" w:color="auto" w:fill="FFC6CA"/>
            <w:noWrap/>
            <w:vAlign w:val="bottom"/>
          </w:tcPr>
          <w:p w14:paraId="41E8915B" w14:textId="198EF95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121D3990" w14:textId="1D42E5E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shd w:val="clear" w:color="auto" w:fill="FFC6CA"/>
            <w:noWrap/>
            <w:vAlign w:val="bottom"/>
          </w:tcPr>
          <w:p w14:paraId="0635F334" w14:textId="6B22CBE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w:t>
            </w:r>
          </w:p>
        </w:tc>
        <w:tc>
          <w:tcPr>
            <w:tcW w:w="648" w:type="pct"/>
            <w:shd w:val="clear" w:color="auto" w:fill="FFC6CA"/>
            <w:noWrap/>
            <w:vAlign w:val="bottom"/>
          </w:tcPr>
          <w:p w14:paraId="5EBFB39B" w14:textId="36150AB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7.9990</w:t>
            </w:r>
          </w:p>
        </w:tc>
        <w:tc>
          <w:tcPr>
            <w:tcW w:w="556" w:type="pct"/>
            <w:shd w:val="clear" w:color="auto" w:fill="FFC6CA"/>
            <w:noWrap/>
            <w:vAlign w:val="bottom"/>
          </w:tcPr>
          <w:p w14:paraId="7B5A3778" w14:textId="4D82B4C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6.3723</w:t>
            </w:r>
          </w:p>
        </w:tc>
        <w:tc>
          <w:tcPr>
            <w:tcW w:w="461" w:type="pct"/>
            <w:shd w:val="clear" w:color="auto" w:fill="FFC6CA"/>
            <w:noWrap/>
            <w:vAlign w:val="bottom"/>
          </w:tcPr>
          <w:p w14:paraId="4F0EE197" w14:textId="15E0267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1.6267</w:t>
            </w:r>
          </w:p>
        </w:tc>
        <w:tc>
          <w:tcPr>
            <w:tcW w:w="575" w:type="pct"/>
            <w:shd w:val="clear" w:color="auto" w:fill="FFC6CA"/>
            <w:noWrap/>
            <w:vAlign w:val="bottom"/>
          </w:tcPr>
          <w:p w14:paraId="08F14662" w14:textId="0E1432D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4.7456</w:t>
            </w:r>
          </w:p>
        </w:tc>
        <w:tc>
          <w:tcPr>
            <w:tcW w:w="426" w:type="pct"/>
            <w:shd w:val="clear" w:color="auto" w:fill="FFC6CA"/>
            <w:noWrap/>
            <w:vAlign w:val="bottom"/>
          </w:tcPr>
          <w:p w14:paraId="2B25DFFD" w14:textId="470ABAA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27.50</w:t>
            </w:r>
          </w:p>
        </w:tc>
      </w:tr>
      <w:tr w:rsidR="007A3B71" w14:paraId="6D048050"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noWrap/>
            <w:vAlign w:val="bottom"/>
          </w:tcPr>
          <w:p w14:paraId="3C89C9D2" w14:textId="408DA645"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601318.SH</w:t>
            </w:r>
          </w:p>
        </w:tc>
        <w:tc>
          <w:tcPr>
            <w:tcW w:w="508" w:type="pct"/>
            <w:noWrap/>
            <w:vAlign w:val="bottom"/>
          </w:tcPr>
          <w:p w14:paraId="0D104958" w14:textId="0250329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中国平安</w:t>
            </w:r>
          </w:p>
        </w:tc>
        <w:tc>
          <w:tcPr>
            <w:tcW w:w="576" w:type="pct"/>
            <w:noWrap/>
            <w:vAlign w:val="bottom"/>
          </w:tcPr>
          <w:p w14:paraId="44DA7675" w14:textId="1790B00E"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0BFF36E8" w14:textId="4407157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noWrap/>
            <w:vAlign w:val="bottom"/>
          </w:tcPr>
          <w:p w14:paraId="58EA11EF" w14:textId="62DAF4F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w:t>
            </w:r>
          </w:p>
        </w:tc>
        <w:tc>
          <w:tcPr>
            <w:tcW w:w="648" w:type="pct"/>
            <w:noWrap/>
            <w:vAlign w:val="bottom"/>
          </w:tcPr>
          <w:p w14:paraId="26BEEBBF" w14:textId="0B8137D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6.9093</w:t>
            </w:r>
          </w:p>
        </w:tc>
        <w:tc>
          <w:tcPr>
            <w:tcW w:w="556" w:type="pct"/>
            <w:noWrap/>
            <w:vAlign w:val="bottom"/>
          </w:tcPr>
          <w:p w14:paraId="0566C3C6" w14:textId="271ED84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3.1177</w:t>
            </w:r>
          </w:p>
        </w:tc>
        <w:tc>
          <w:tcPr>
            <w:tcW w:w="461" w:type="pct"/>
            <w:noWrap/>
            <w:vAlign w:val="bottom"/>
          </w:tcPr>
          <w:p w14:paraId="52713E0C" w14:textId="2D3A360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3.7917</w:t>
            </w:r>
          </w:p>
        </w:tc>
        <w:tc>
          <w:tcPr>
            <w:tcW w:w="575" w:type="pct"/>
            <w:noWrap/>
            <w:vAlign w:val="bottom"/>
          </w:tcPr>
          <w:p w14:paraId="5D663843" w14:textId="3F4FC0C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-0.6740</w:t>
            </w:r>
          </w:p>
        </w:tc>
        <w:tc>
          <w:tcPr>
            <w:tcW w:w="426" w:type="pct"/>
            <w:noWrap/>
            <w:vAlign w:val="bottom"/>
          </w:tcPr>
          <w:p w14:paraId="35893D61" w14:textId="465E6B1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50.61</w:t>
            </w:r>
          </w:p>
        </w:tc>
      </w:tr>
      <w:tr w:rsidR="007A3B71" w14:paraId="5CAEBBB8"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shd w:val="clear" w:color="auto" w:fill="FFC6CA"/>
            <w:noWrap/>
            <w:vAlign w:val="bottom"/>
          </w:tcPr>
          <w:p w14:paraId="60BB613D" w14:textId="324CDA5F"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600522.SH</w:t>
            </w:r>
          </w:p>
        </w:tc>
        <w:tc>
          <w:tcPr>
            <w:tcW w:w="508" w:type="pct"/>
            <w:shd w:val="clear" w:color="auto" w:fill="FFC6CA"/>
            <w:noWrap/>
            <w:vAlign w:val="bottom"/>
          </w:tcPr>
          <w:p w14:paraId="0F8E5BD2" w14:textId="5895CC5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中天科技</w:t>
            </w:r>
          </w:p>
        </w:tc>
        <w:tc>
          <w:tcPr>
            <w:tcW w:w="576" w:type="pct"/>
            <w:shd w:val="clear" w:color="auto" w:fill="FFC6CA"/>
            <w:noWrap/>
            <w:vAlign w:val="bottom"/>
          </w:tcPr>
          <w:p w14:paraId="63654806" w14:textId="371FB2E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3F890BFC" w14:textId="6DBE9A3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shd w:val="clear" w:color="auto" w:fill="FFC6CA"/>
            <w:noWrap/>
            <w:vAlign w:val="bottom"/>
          </w:tcPr>
          <w:p w14:paraId="079D9B6A" w14:textId="71EB0DE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9</w:t>
            </w:r>
          </w:p>
        </w:tc>
        <w:tc>
          <w:tcPr>
            <w:tcW w:w="648" w:type="pct"/>
            <w:shd w:val="clear" w:color="auto" w:fill="FFC6CA"/>
            <w:noWrap/>
            <w:vAlign w:val="bottom"/>
          </w:tcPr>
          <w:p w14:paraId="445FF551" w14:textId="65BFB9D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5.7971</w:t>
            </w:r>
          </w:p>
        </w:tc>
        <w:tc>
          <w:tcPr>
            <w:tcW w:w="556" w:type="pct"/>
            <w:shd w:val="clear" w:color="auto" w:fill="FFC6CA"/>
            <w:noWrap/>
            <w:vAlign w:val="bottom"/>
          </w:tcPr>
          <w:p w14:paraId="30530D07" w14:textId="2427819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2.5897</w:t>
            </w:r>
          </w:p>
        </w:tc>
        <w:tc>
          <w:tcPr>
            <w:tcW w:w="461" w:type="pct"/>
            <w:shd w:val="clear" w:color="auto" w:fill="FFC6CA"/>
            <w:noWrap/>
            <w:vAlign w:val="bottom"/>
          </w:tcPr>
          <w:p w14:paraId="7D278EE5" w14:textId="6EE513A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3.2075</w:t>
            </w:r>
          </w:p>
        </w:tc>
        <w:tc>
          <w:tcPr>
            <w:tcW w:w="575" w:type="pct"/>
            <w:shd w:val="clear" w:color="auto" w:fill="FFC6CA"/>
            <w:noWrap/>
            <w:vAlign w:val="bottom"/>
          </w:tcPr>
          <w:p w14:paraId="71A1E0B9" w14:textId="77D7179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-0.6178</w:t>
            </w:r>
          </w:p>
        </w:tc>
        <w:tc>
          <w:tcPr>
            <w:tcW w:w="426" w:type="pct"/>
            <w:shd w:val="clear" w:color="auto" w:fill="FFC6CA"/>
            <w:noWrap/>
            <w:vAlign w:val="bottom"/>
          </w:tcPr>
          <w:p w14:paraId="6A370B05" w14:textId="447F27F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17.95</w:t>
            </w:r>
          </w:p>
        </w:tc>
      </w:tr>
      <w:tr w:rsidR="007A3B71" w14:paraId="4A6443DB"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9" w:type="pct"/>
            <w:noWrap/>
            <w:vAlign w:val="bottom"/>
          </w:tcPr>
          <w:p w14:paraId="36647A2E" w14:textId="23893C65"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600111.SH</w:t>
            </w:r>
          </w:p>
        </w:tc>
        <w:tc>
          <w:tcPr>
            <w:tcW w:w="508" w:type="pct"/>
            <w:noWrap/>
            <w:vAlign w:val="bottom"/>
          </w:tcPr>
          <w:p w14:paraId="47B0059C" w14:textId="143663D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北方稀土</w:t>
            </w:r>
          </w:p>
        </w:tc>
        <w:tc>
          <w:tcPr>
            <w:tcW w:w="576" w:type="pct"/>
            <w:noWrap/>
            <w:vAlign w:val="bottom"/>
          </w:tcPr>
          <w:p w14:paraId="46D415C7" w14:textId="6A62B66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5154408B" w14:textId="3F7B276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沪股通</w:t>
            </w:r>
          </w:p>
        </w:tc>
        <w:tc>
          <w:tcPr>
            <w:tcW w:w="265" w:type="pct"/>
            <w:noWrap/>
            <w:vAlign w:val="bottom"/>
          </w:tcPr>
          <w:p w14:paraId="283CF8C0" w14:textId="65CED1C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10</w:t>
            </w:r>
          </w:p>
        </w:tc>
        <w:tc>
          <w:tcPr>
            <w:tcW w:w="648" w:type="pct"/>
            <w:noWrap/>
            <w:vAlign w:val="bottom"/>
          </w:tcPr>
          <w:p w14:paraId="461FB8F0" w14:textId="685D453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5.3926</w:t>
            </w:r>
          </w:p>
        </w:tc>
        <w:tc>
          <w:tcPr>
            <w:tcW w:w="556" w:type="pct"/>
            <w:noWrap/>
            <w:vAlign w:val="bottom"/>
          </w:tcPr>
          <w:p w14:paraId="4A06AB33" w14:textId="4341E84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1.9131</w:t>
            </w:r>
          </w:p>
        </w:tc>
        <w:tc>
          <w:tcPr>
            <w:tcW w:w="461" w:type="pct"/>
            <w:noWrap/>
            <w:vAlign w:val="bottom"/>
          </w:tcPr>
          <w:p w14:paraId="7CE29F76" w14:textId="73AEE35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3.4795</w:t>
            </w:r>
          </w:p>
        </w:tc>
        <w:tc>
          <w:tcPr>
            <w:tcW w:w="575" w:type="pct"/>
            <w:noWrap/>
            <w:vAlign w:val="bottom"/>
          </w:tcPr>
          <w:p w14:paraId="1D0C6D34" w14:textId="26A688D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-1.5663</w:t>
            </w:r>
          </w:p>
        </w:tc>
        <w:tc>
          <w:tcPr>
            <w:tcW w:w="426" w:type="pct"/>
            <w:noWrap/>
            <w:vAlign w:val="bottom"/>
          </w:tcPr>
          <w:p w14:paraId="00C616C5" w14:textId="64661C0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48.60</w:t>
            </w:r>
          </w:p>
        </w:tc>
      </w:tr>
    </w:tbl>
    <w:p w14:paraId="038BFC8F" w14:textId="77777777" w:rsidR="00037E01" w:rsidRDefault="00204A8E">
      <w:pPr>
        <w:spacing w:afterLines="50" w:after="120"/>
        <w:rPr>
          <w:rFonts w:ascii="Times New Roman" w:eastAsia="楷体" w:hAnsi="Times New Roman" w:cs="Times New Roman"/>
          <w:i/>
          <w:iCs/>
          <w:sz w:val="18"/>
          <w:szCs w:val="18"/>
        </w:rPr>
      </w:pPr>
      <w:r>
        <w:rPr>
          <w:rFonts w:ascii="Times New Roman" w:eastAsia="楷体" w:hAnsi="Times New Roman" w:cs="Times New Roman"/>
          <w:i/>
          <w:iCs/>
          <w:sz w:val="18"/>
          <w:szCs w:val="18"/>
        </w:rPr>
        <w:t>资料来源：</w:t>
      </w:r>
      <w:r>
        <w:rPr>
          <w:rFonts w:ascii="Times New Roman" w:eastAsia="楷体" w:hAnsi="Times New Roman" w:cs="Times New Roman"/>
          <w:i/>
          <w:iCs/>
          <w:sz w:val="18"/>
          <w:szCs w:val="18"/>
        </w:rPr>
        <w:t>Wind</w:t>
      </w:r>
      <w:r>
        <w:rPr>
          <w:rFonts w:ascii="Times New Roman" w:eastAsia="楷体" w:hAnsi="Times New Roman" w:cs="Times New Roman"/>
          <w:i/>
          <w:iCs/>
          <w:sz w:val="18"/>
          <w:szCs w:val="18"/>
        </w:rPr>
        <w:t>，首创证券</w:t>
      </w:r>
    </w:p>
    <w:p w14:paraId="2C64AA48" w14:textId="77777777" w:rsidR="00037E01" w:rsidRDefault="00204A8E">
      <w:pPr>
        <w:pStyle w:val="a3"/>
        <w:rPr>
          <w:rFonts w:cs="Times New Roman"/>
        </w:rPr>
      </w:pPr>
      <w:r>
        <w:rPr>
          <w:rFonts w:cs="Times New Roman"/>
        </w:rPr>
        <w:t>表</w:t>
      </w:r>
      <w:r>
        <w:rPr>
          <w:rFonts w:cs="Times New Roman" w:hint="eastAsia"/>
        </w:rPr>
        <w:t>5</w:t>
      </w:r>
      <w:r>
        <w:rPr>
          <w:rFonts w:cs="Times New Roman"/>
        </w:rPr>
        <w:t xml:space="preserve"> </w:t>
      </w:r>
      <w:r>
        <w:rPr>
          <w:rFonts w:cs="Times New Roman" w:hint="eastAsia"/>
        </w:rPr>
        <w:t>深股通前十大活跃个股明细</w:t>
      </w:r>
    </w:p>
    <w:tbl>
      <w:tblPr>
        <w:tblStyle w:val="4-11"/>
        <w:tblW w:w="4880" w:type="pct"/>
        <w:tblLayout w:type="fixed"/>
        <w:tblLook w:val="04A0" w:firstRow="1" w:lastRow="0" w:firstColumn="1" w:lastColumn="0" w:noHBand="0" w:noVBand="1"/>
      </w:tblPr>
      <w:tblGrid>
        <w:gridCol w:w="1099"/>
        <w:gridCol w:w="1030"/>
        <w:gridCol w:w="1198"/>
        <w:gridCol w:w="887"/>
        <w:gridCol w:w="509"/>
        <w:gridCol w:w="1367"/>
        <w:gridCol w:w="1102"/>
        <w:gridCol w:w="995"/>
        <w:gridCol w:w="1135"/>
        <w:gridCol w:w="848"/>
      </w:tblGrid>
      <w:tr w:rsidR="003022D2" w14:paraId="63E61784" w14:textId="77777777" w:rsidTr="003022D2">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40" w:type="pct"/>
            <w:noWrap/>
          </w:tcPr>
          <w:p w14:paraId="2CE545B4" w14:textId="77777777" w:rsidR="00037E01" w:rsidRDefault="00204A8E">
            <w:pPr>
              <w:widowControl/>
              <w:jc w:val="center"/>
              <w:rPr>
                <w:rFonts w:ascii="宋体" w:eastAsia="宋体" w:hAnsi="宋体" w:cs="宋体"/>
                <w:kern w:val="0"/>
                <w:sz w:val="18"/>
                <w:szCs w:val="18"/>
              </w:rPr>
            </w:pPr>
            <w:r>
              <w:rPr>
                <w:rFonts w:ascii="宋体" w:eastAsia="宋体" w:hAnsi="宋体" w:cs="宋体" w:hint="eastAsia"/>
                <w:b w:val="0"/>
                <w:bCs w:val="0"/>
                <w:kern w:val="0"/>
                <w:sz w:val="18"/>
                <w:szCs w:val="18"/>
              </w:rPr>
              <w:t>代码</w:t>
            </w:r>
          </w:p>
        </w:tc>
        <w:tc>
          <w:tcPr>
            <w:tcW w:w="506" w:type="pct"/>
            <w:noWrap/>
          </w:tcPr>
          <w:p w14:paraId="72AFD10C"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证券名称</w:t>
            </w:r>
          </w:p>
        </w:tc>
        <w:tc>
          <w:tcPr>
            <w:tcW w:w="589" w:type="pct"/>
            <w:noWrap/>
          </w:tcPr>
          <w:p w14:paraId="5DF39E36"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交易日期</w:t>
            </w:r>
          </w:p>
        </w:tc>
        <w:tc>
          <w:tcPr>
            <w:tcW w:w="436" w:type="pct"/>
            <w:noWrap/>
          </w:tcPr>
          <w:p w14:paraId="66096A56"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类型</w:t>
            </w:r>
          </w:p>
        </w:tc>
        <w:tc>
          <w:tcPr>
            <w:tcW w:w="250" w:type="pct"/>
            <w:noWrap/>
          </w:tcPr>
          <w:p w14:paraId="12415497"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排名</w:t>
            </w:r>
          </w:p>
        </w:tc>
        <w:tc>
          <w:tcPr>
            <w:tcW w:w="672" w:type="pct"/>
            <w:noWrap/>
          </w:tcPr>
          <w:p w14:paraId="6F56D52F"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合计买卖总额(亿)</w:t>
            </w:r>
          </w:p>
        </w:tc>
        <w:tc>
          <w:tcPr>
            <w:tcW w:w="542" w:type="pct"/>
            <w:noWrap/>
          </w:tcPr>
          <w:p w14:paraId="713D4BFB"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买入金额(亿)</w:t>
            </w:r>
          </w:p>
        </w:tc>
        <w:tc>
          <w:tcPr>
            <w:tcW w:w="489" w:type="pct"/>
            <w:noWrap/>
          </w:tcPr>
          <w:p w14:paraId="5798C934"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卖出金额(亿)</w:t>
            </w:r>
          </w:p>
        </w:tc>
        <w:tc>
          <w:tcPr>
            <w:tcW w:w="558" w:type="pct"/>
            <w:noWrap/>
          </w:tcPr>
          <w:p w14:paraId="1B6BB4D2"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成交净买入(亿)</w:t>
            </w:r>
          </w:p>
        </w:tc>
        <w:tc>
          <w:tcPr>
            <w:tcW w:w="417" w:type="pct"/>
            <w:noWrap/>
          </w:tcPr>
          <w:p w14:paraId="0E04A978" w14:textId="77777777" w:rsidR="00037E01" w:rsidRDefault="00204A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b w:val="0"/>
                <w:bCs w:val="0"/>
                <w:kern w:val="0"/>
                <w:sz w:val="18"/>
                <w:szCs w:val="18"/>
              </w:rPr>
              <w:t>收盘价</w:t>
            </w:r>
          </w:p>
        </w:tc>
      </w:tr>
      <w:tr w:rsidR="007A3B71" w14:paraId="60955662"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shd w:val="clear" w:color="auto" w:fill="FFC6CA"/>
            <w:noWrap/>
            <w:vAlign w:val="bottom"/>
          </w:tcPr>
          <w:p w14:paraId="0D210244" w14:textId="4EF9B95C"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300750.SZ</w:t>
            </w:r>
          </w:p>
        </w:tc>
        <w:tc>
          <w:tcPr>
            <w:tcW w:w="506" w:type="pct"/>
            <w:shd w:val="clear" w:color="auto" w:fill="FFC6CA"/>
            <w:noWrap/>
            <w:vAlign w:val="bottom"/>
          </w:tcPr>
          <w:p w14:paraId="46609FFA" w14:textId="4CB1CA2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宁德时代</w:t>
            </w:r>
          </w:p>
        </w:tc>
        <w:tc>
          <w:tcPr>
            <w:tcW w:w="589" w:type="pct"/>
            <w:shd w:val="clear" w:color="auto" w:fill="FFC6CA"/>
            <w:noWrap/>
            <w:vAlign w:val="bottom"/>
          </w:tcPr>
          <w:p w14:paraId="03E61948" w14:textId="40CD3A3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2D64A25E" w14:textId="5CD8AE0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shd w:val="clear" w:color="auto" w:fill="FFC6CA"/>
            <w:noWrap/>
            <w:vAlign w:val="bottom"/>
          </w:tcPr>
          <w:p w14:paraId="08B5C75E" w14:textId="34AE160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w:t>
            </w:r>
          </w:p>
        </w:tc>
        <w:tc>
          <w:tcPr>
            <w:tcW w:w="672" w:type="pct"/>
            <w:shd w:val="clear" w:color="auto" w:fill="FFC6CA"/>
            <w:noWrap/>
            <w:vAlign w:val="bottom"/>
          </w:tcPr>
          <w:p w14:paraId="40AE251C" w14:textId="6F69FFF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18.9699</w:t>
            </w:r>
          </w:p>
        </w:tc>
        <w:tc>
          <w:tcPr>
            <w:tcW w:w="542" w:type="pct"/>
            <w:shd w:val="clear" w:color="auto" w:fill="FFC6CA"/>
            <w:noWrap/>
            <w:vAlign w:val="bottom"/>
          </w:tcPr>
          <w:p w14:paraId="73D27358" w14:textId="616D1D0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13.6217</w:t>
            </w:r>
          </w:p>
        </w:tc>
        <w:tc>
          <w:tcPr>
            <w:tcW w:w="489" w:type="pct"/>
            <w:shd w:val="clear" w:color="auto" w:fill="FFC6CA"/>
            <w:noWrap/>
            <w:vAlign w:val="bottom"/>
          </w:tcPr>
          <w:p w14:paraId="6B9FDE71" w14:textId="5E13DA6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5.3481</w:t>
            </w:r>
          </w:p>
        </w:tc>
        <w:tc>
          <w:tcPr>
            <w:tcW w:w="558" w:type="pct"/>
            <w:shd w:val="clear" w:color="auto" w:fill="FFC6CA"/>
            <w:noWrap/>
            <w:vAlign w:val="bottom"/>
          </w:tcPr>
          <w:p w14:paraId="6F258F68" w14:textId="59BFF3D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8.2736</w:t>
            </w:r>
          </w:p>
        </w:tc>
        <w:tc>
          <w:tcPr>
            <w:tcW w:w="417" w:type="pct"/>
            <w:shd w:val="clear" w:color="auto" w:fill="FFC6CA"/>
            <w:noWrap/>
            <w:vAlign w:val="bottom"/>
          </w:tcPr>
          <w:p w14:paraId="0EFB7A73" w14:textId="0897029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641.00</w:t>
            </w:r>
          </w:p>
        </w:tc>
      </w:tr>
      <w:tr w:rsidR="007A3B71" w14:paraId="4CB8CF74" w14:textId="77777777" w:rsidTr="003022D2">
        <w:trPr>
          <w:trHeight w:val="320"/>
        </w:trPr>
        <w:tc>
          <w:tcPr>
            <w:cnfStyle w:val="001000000000" w:firstRow="0" w:lastRow="0" w:firstColumn="1" w:lastColumn="0" w:oddVBand="0" w:evenVBand="0" w:oddHBand="0" w:evenHBand="0" w:firstRowFirstColumn="0" w:firstRowLastColumn="0" w:lastRowFirstColumn="0" w:lastRowLastColumn="0"/>
            <w:tcW w:w="540" w:type="pct"/>
            <w:noWrap/>
            <w:vAlign w:val="bottom"/>
          </w:tcPr>
          <w:p w14:paraId="5C1FC7D0" w14:textId="1DEDE1A2"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300059.SZ</w:t>
            </w:r>
          </w:p>
        </w:tc>
        <w:tc>
          <w:tcPr>
            <w:tcW w:w="506" w:type="pct"/>
            <w:noWrap/>
            <w:vAlign w:val="bottom"/>
          </w:tcPr>
          <w:p w14:paraId="4A416B13" w14:textId="768ED4C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东方财富</w:t>
            </w:r>
          </w:p>
        </w:tc>
        <w:tc>
          <w:tcPr>
            <w:tcW w:w="589" w:type="pct"/>
            <w:noWrap/>
            <w:vAlign w:val="bottom"/>
          </w:tcPr>
          <w:p w14:paraId="4AB5A30D" w14:textId="6973E90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353CF9D2" w14:textId="3EF8312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noWrap/>
            <w:vAlign w:val="bottom"/>
          </w:tcPr>
          <w:p w14:paraId="7F48CDCB" w14:textId="1FA6A2B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w:t>
            </w:r>
          </w:p>
        </w:tc>
        <w:tc>
          <w:tcPr>
            <w:tcW w:w="672" w:type="pct"/>
            <w:noWrap/>
            <w:vAlign w:val="bottom"/>
          </w:tcPr>
          <w:p w14:paraId="270BE327" w14:textId="0CCA775E"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13.5365</w:t>
            </w:r>
          </w:p>
        </w:tc>
        <w:tc>
          <w:tcPr>
            <w:tcW w:w="542" w:type="pct"/>
            <w:noWrap/>
            <w:vAlign w:val="bottom"/>
          </w:tcPr>
          <w:p w14:paraId="0E161322" w14:textId="3C43176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10.4608</w:t>
            </w:r>
          </w:p>
        </w:tc>
        <w:tc>
          <w:tcPr>
            <w:tcW w:w="489" w:type="pct"/>
            <w:noWrap/>
            <w:vAlign w:val="bottom"/>
          </w:tcPr>
          <w:p w14:paraId="7FE8A928" w14:textId="17A4AFE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3.0758</w:t>
            </w:r>
          </w:p>
        </w:tc>
        <w:tc>
          <w:tcPr>
            <w:tcW w:w="558" w:type="pct"/>
            <w:noWrap/>
            <w:vAlign w:val="bottom"/>
          </w:tcPr>
          <w:p w14:paraId="1BAE7160" w14:textId="416999EB"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7.3850</w:t>
            </w:r>
          </w:p>
        </w:tc>
        <w:tc>
          <w:tcPr>
            <w:tcW w:w="417" w:type="pct"/>
            <w:noWrap/>
            <w:vAlign w:val="bottom"/>
          </w:tcPr>
          <w:p w14:paraId="0E401D82" w14:textId="185F26B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35.43</w:t>
            </w:r>
          </w:p>
        </w:tc>
      </w:tr>
      <w:tr w:rsidR="007A3B71" w14:paraId="7A3FB0EB"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shd w:val="clear" w:color="auto" w:fill="FFC6CA"/>
            <w:noWrap/>
            <w:vAlign w:val="bottom"/>
          </w:tcPr>
          <w:p w14:paraId="68FB7D10" w14:textId="4CFEC49C"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000651.SZ</w:t>
            </w:r>
          </w:p>
        </w:tc>
        <w:tc>
          <w:tcPr>
            <w:tcW w:w="506" w:type="pct"/>
            <w:shd w:val="clear" w:color="auto" w:fill="FFC6CA"/>
            <w:noWrap/>
            <w:vAlign w:val="bottom"/>
          </w:tcPr>
          <w:p w14:paraId="12F9CC8C" w14:textId="1DF4F10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格力电器</w:t>
            </w:r>
          </w:p>
        </w:tc>
        <w:tc>
          <w:tcPr>
            <w:tcW w:w="589" w:type="pct"/>
            <w:shd w:val="clear" w:color="auto" w:fill="FFC6CA"/>
            <w:noWrap/>
            <w:vAlign w:val="bottom"/>
          </w:tcPr>
          <w:p w14:paraId="1428C265" w14:textId="2088EFF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7AB6649F" w14:textId="0111C9E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shd w:val="clear" w:color="auto" w:fill="FFC6CA"/>
            <w:noWrap/>
            <w:vAlign w:val="bottom"/>
          </w:tcPr>
          <w:p w14:paraId="423F0FFD" w14:textId="6C6423C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w:t>
            </w:r>
          </w:p>
        </w:tc>
        <w:tc>
          <w:tcPr>
            <w:tcW w:w="672" w:type="pct"/>
            <w:shd w:val="clear" w:color="auto" w:fill="FFC6CA"/>
            <w:noWrap/>
            <w:vAlign w:val="bottom"/>
          </w:tcPr>
          <w:p w14:paraId="085529DE" w14:textId="652D626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11.0289</w:t>
            </w:r>
          </w:p>
        </w:tc>
        <w:tc>
          <w:tcPr>
            <w:tcW w:w="542" w:type="pct"/>
            <w:shd w:val="clear" w:color="auto" w:fill="FFC6CA"/>
            <w:noWrap/>
            <w:vAlign w:val="bottom"/>
          </w:tcPr>
          <w:p w14:paraId="4633CBAA" w14:textId="11B6FC3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3.4514</w:t>
            </w:r>
          </w:p>
        </w:tc>
        <w:tc>
          <w:tcPr>
            <w:tcW w:w="489" w:type="pct"/>
            <w:shd w:val="clear" w:color="auto" w:fill="FFC6CA"/>
            <w:noWrap/>
            <w:vAlign w:val="bottom"/>
          </w:tcPr>
          <w:p w14:paraId="4C19246E" w14:textId="0F15C74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7.5776</w:t>
            </w:r>
          </w:p>
        </w:tc>
        <w:tc>
          <w:tcPr>
            <w:tcW w:w="558" w:type="pct"/>
            <w:shd w:val="clear" w:color="auto" w:fill="FFC6CA"/>
            <w:noWrap/>
            <w:vAlign w:val="bottom"/>
          </w:tcPr>
          <w:p w14:paraId="7B976A79" w14:textId="3744AE5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-4.1262</w:t>
            </w:r>
          </w:p>
        </w:tc>
        <w:tc>
          <w:tcPr>
            <w:tcW w:w="417" w:type="pct"/>
            <w:shd w:val="clear" w:color="auto" w:fill="FFC6CA"/>
            <w:noWrap/>
            <w:vAlign w:val="bottom"/>
          </w:tcPr>
          <w:p w14:paraId="7ADC8DFA" w14:textId="0FC31B6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35.43</w:t>
            </w:r>
          </w:p>
        </w:tc>
      </w:tr>
      <w:tr w:rsidR="007A3B71" w14:paraId="35DE9E88"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noWrap/>
            <w:vAlign w:val="bottom"/>
          </w:tcPr>
          <w:p w14:paraId="7873265F" w14:textId="574A1D75"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300014.SZ</w:t>
            </w:r>
          </w:p>
        </w:tc>
        <w:tc>
          <w:tcPr>
            <w:tcW w:w="506" w:type="pct"/>
            <w:noWrap/>
            <w:vAlign w:val="bottom"/>
          </w:tcPr>
          <w:p w14:paraId="74940637" w14:textId="5C32362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亿纬锂能</w:t>
            </w:r>
          </w:p>
        </w:tc>
        <w:tc>
          <w:tcPr>
            <w:tcW w:w="589" w:type="pct"/>
            <w:noWrap/>
            <w:vAlign w:val="bottom"/>
          </w:tcPr>
          <w:p w14:paraId="6DBF67FC" w14:textId="0973F4B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63052010" w14:textId="2FADA0E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noWrap/>
            <w:vAlign w:val="bottom"/>
          </w:tcPr>
          <w:p w14:paraId="56ABE6D8" w14:textId="7AD15A6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w:t>
            </w:r>
          </w:p>
        </w:tc>
        <w:tc>
          <w:tcPr>
            <w:tcW w:w="672" w:type="pct"/>
            <w:noWrap/>
            <w:vAlign w:val="bottom"/>
          </w:tcPr>
          <w:p w14:paraId="1BC3CEED" w14:textId="4199312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10.0687</w:t>
            </w:r>
          </w:p>
        </w:tc>
        <w:tc>
          <w:tcPr>
            <w:tcW w:w="542" w:type="pct"/>
            <w:noWrap/>
            <w:vAlign w:val="bottom"/>
          </w:tcPr>
          <w:p w14:paraId="41E62780" w14:textId="6161D9C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4.9031</w:t>
            </w:r>
          </w:p>
        </w:tc>
        <w:tc>
          <w:tcPr>
            <w:tcW w:w="489" w:type="pct"/>
            <w:noWrap/>
            <w:vAlign w:val="bottom"/>
          </w:tcPr>
          <w:p w14:paraId="35862554" w14:textId="5BA0C29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5.1656</w:t>
            </w:r>
          </w:p>
        </w:tc>
        <w:tc>
          <w:tcPr>
            <w:tcW w:w="558" w:type="pct"/>
            <w:noWrap/>
            <w:vAlign w:val="bottom"/>
          </w:tcPr>
          <w:p w14:paraId="7652DA75" w14:textId="2C17845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-0.2625</w:t>
            </w:r>
          </w:p>
        </w:tc>
        <w:tc>
          <w:tcPr>
            <w:tcW w:w="417" w:type="pct"/>
            <w:noWrap/>
            <w:vAlign w:val="bottom"/>
          </w:tcPr>
          <w:p w14:paraId="6393BDA0" w14:textId="41250D7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131.59</w:t>
            </w:r>
          </w:p>
        </w:tc>
      </w:tr>
      <w:tr w:rsidR="007A3B71" w14:paraId="4D03735E"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shd w:val="clear" w:color="auto" w:fill="FFC6CA"/>
            <w:noWrap/>
            <w:vAlign w:val="bottom"/>
          </w:tcPr>
          <w:p w14:paraId="3874A777" w14:textId="3968EEFC"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002812.SZ</w:t>
            </w:r>
          </w:p>
        </w:tc>
        <w:tc>
          <w:tcPr>
            <w:tcW w:w="506" w:type="pct"/>
            <w:shd w:val="clear" w:color="auto" w:fill="FFC6CA"/>
            <w:noWrap/>
            <w:vAlign w:val="bottom"/>
          </w:tcPr>
          <w:p w14:paraId="6E4954D2" w14:textId="1B3C21C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恩捷股份</w:t>
            </w:r>
          </w:p>
        </w:tc>
        <w:tc>
          <w:tcPr>
            <w:tcW w:w="589" w:type="pct"/>
            <w:shd w:val="clear" w:color="auto" w:fill="FFC6CA"/>
            <w:noWrap/>
            <w:vAlign w:val="bottom"/>
          </w:tcPr>
          <w:p w14:paraId="0E47FF44" w14:textId="3406968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7B189AA8" w14:textId="7A96ED8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shd w:val="clear" w:color="auto" w:fill="FFC6CA"/>
            <w:noWrap/>
            <w:vAlign w:val="bottom"/>
          </w:tcPr>
          <w:p w14:paraId="79F21FC1" w14:textId="3CEC18B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w:t>
            </w:r>
          </w:p>
        </w:tc>
        <w:tc>
          <w:tcPr>
            <w:tcW w:w="672" w:type="pct"/>
            <w:shd w:val="clear" w:color="auto" w:fill="FFC6CA"/>
            <w:noWrap/>
            <w:vAlign w:val="bottom"/>
          </w:tcPr>
          <w:p w14:paraId="58B931B6" w14:textId="0B8967F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8.9046</w:t>
            </w:r>
          </w:p>
        </w:tc>
        <w:tc>
          <w:tcPr>
            <w:tcW w:w="542" w:type="pct"/>
            <w:shd w:val="clear" w:color="auto" w:fill="FFC6CA"/>
            <w:noWrap/>
            <w:vAlign w:val="bottom"/>
          </w:tcPr>
          <w:p w14:paraId="53B50409" w14:textId="27BC23E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6.8853</w:t>
            </w:r>
          </w:p>
        </w:tc>
        <w:tc>
          <w:tcPr>
            <w:tcW w:w="489" w:type="pct"/>
            <w:shd w:val="clear" w:color="auto" w:fill="FFC6CA"/>
            <w:noWrap/>
            <w:vAlign w:val="bottom"/>
          </w:tcPr>
          <w:p w14:paraId="62689CD7" w14:textId="23BBD8DE"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2.0194</w:t>
            </w:r>
          </w:p>
        </w:tc>
        <w:tc>
          <w:tcPr>
            <w:tcW w:w="558" w:type="pct"/>
            <w:shd w:val="clear" w:color="auto" w:fill="FFC6CA"/>
            <w:noWrap/>
            <w:vAlign w:val="bottom"/>
          </w:tcPr>
          <w:p w14:paraId="6255E08F" w14:textId="335E03B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4.8659</w:t>
            </w:r>
          </w:p>
        </w:tc>
        <w:tc>
          <w:tcPr>
            <w:tcW w:w="417" w:type="pct"/>
            <w:shd w:val="clear" w:color="auto" w:fill="FFC6CA"/>
            <w:noWrap/>
            <w:vAlign w:val="bottom"/>
          </w:tcPr>
          <w:p w14:paraId="1394C2D7" w14:textId="7E9E9B3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274.10</w:t>
            </w:r>
          </w:p>
        </w:tc>
      </w:tr>
      <w:tr w:rsidR="007A3B71" w14:paraId="6A03B343"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noWrap/>
            <w:vAlign w:val="bottom"/>
          </w:tcPr>
          <w:p w14:paraId="186DBF02" w14:textId="514999C8"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000858.SZ</w:t>
            </w:r>
          </w:p>
        </w:tc>
        <w:tc>
          <w:tcPr>
            <w:tcW w:w="506" w:type="pct"/>
            <w:noWrap/>
            <w:vAlign w:val="bottom"/>
          </w:tcPr>
          <w:p w14:paraId="45456BBE" w14:textId="2478A63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五粮液</w:t>
            </w:r>
          </w:p>
        </w:tc>
        <w:tc>
          <w:tcPr>
            <w:tcW w:w="589" w:type="pct"/>
            <w:noWrap/>
            <w:vAlign w:val="bottom"/>
          </w:tcPr>
          <w:p w14:paraId="134344D3" w14:textId="3A8106D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16B3FC3E" w14:textId="6503299B"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noWrap/>
            <w:vAlign w:val="bottom"/>
          </w:tcPr>
          <w:p w14:paraId="11E082BC" w14:textId="119D84A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6</w:t>
            </w:r>
          </w:p>
        </w:tc>
        <w:tc>
          <w:tcPr>
            <w:tcW w:w="672" w:type="pct"/>
            <w:noWrap/>
            <w:vAlign w:val="bottom"/>
          </w:tcPr>
          <w:p w14:paraId="6D042037" w14:textId="502178E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8.7624</w:t>
            </w:r>
          </w:p>
        </w:tc>
        <w:tc>
          <w:tcPr>
            <w:tcW w:w="542" w:type="pct"/>
            <w:noWrap/>
            <w:vAlign w:val="bottom"/>
          </w:tcPr>
          <w:p w14:paraId="5254C77B" w14:textId="1F1C4D8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3.7726</w:t>
            </w:r>
          </w:p>
        </w:tc>
        <w:tc>
          <w:tcPr>
            <w:tcW w:w="489" w:type="pct"/>
            <w:noWrap/>
            <w:vAlign w:val="bottom"/>
          </w:tcPr>
          <w:p w14:paraId="197589EF" w14:textId="78D95C7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4.9898</w:t>
            </w:r>
          </w:p>
        </w:tc>
        <w:tc>
          <w:tcPr>
            <w:tcW w:w="558" w:type="pct"/>
            <w:noWrap/>
            <w:vAlign w:val="bottom"/>
          </w:tcPr>
          <w:p w14:paraId="4D395DE8" w14:textId="25A4819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-1.2172</w:t>
            </w:r>
          </w:p>
        </w:tc>
        <w:tc>
          <w:tcPr>
            <w:tcW w:w="417" w:type="pct"/>
            <w:noWrap/>
            <w:vAlign w:val="bottom"/>
          </w:tcPr>
          <w:p w14:paraId="2CD45D15" w14:textId="0A0652A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203.85</w:t>
            </w:r>
          </w:p>
        </w:tc>
      </w:tr>
      <w:tr w:rsidR="007A3B71" w14:paraId="75223EA4"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shd w:val="clear" w:color="auto" w:fill="FFC6CA"/>
            <w:noWrap/>
            <w:vAlign w:val="bottom"/>
          </w:tcPr>
          <w:p w14:paraId="2B00F9DE" w14:textId="34E3D772"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000568.SZ</w:t>
            </w:r>
          </w:p>
        </w:tc>
        <w:tc>
          <w:tcPr>
            <w:tcW w:w="506" w:type="pct"/>
            <w:shd w:val="clear" w:color="auto" w:fill="FFC6CA"/>
            <w:noWrap/>
            <w:vAlign w:val="bottom"/>
          </w:tcPr>
          <w:p w14:paraId="5F7E7C09" w14:textId="0812BF3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泸州老窖</w:t>
            </w:r>
          </w:p>
        </w:tc>
        <w:tc>
          <w:tcPr>
            <w:tcW w:w="589" w:type="pct"/>
            <w:shd w:val="clear" w:color="auto" w:fill="FFC6CA"/>
            <w:noWrap/>
            <w:vAlign w:val="bottom"/>
          </w:tcPr>
          <w:p w14:paraId="12693C90" w14:textId="25F0FEE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6A452B3D" w14:textId="2915676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shd w:val="clear" w:color="auto" w:fill="FFC6CA"/>
            <w:noWrap/>
            <w:vAlign w:val="bottom"/>
          </w:tcPr>
          <w:p w14:paraId="7A98B593" w14:textId="02AF480A"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w:t>
            </w:r>
          </w:p>
        </w:tc>
        <w:tc>
          <w:tcPr>
            <w:tcW w:w="672" w:type="pct"/>
            <w:shd w:val="clear" w:color="auto" w:fill="FFC6CA"/>
            <w:noWrap/>
            <w:vAlign w:val="bottom"/>
          </w:tcPr>
          <w:p w14:paraId="4F7AB041" w14:textId="481161A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7.8389</w:t>
            </w:r>
          </w:p>
        </w:tc>
        <w:tc>
          <w:tcPr>
            <w:tcW w:w="542" w:type="pct"/>
            <w:shd w:val="clear" w:color="auto" w:fill="FFC6CA"/>
            <w:noWrap/>
            <w:vAlign w:val="bottom"/>
          </w:tcPr>
          <w:p w14:paraId="30C87E2A" w14:textId="56A0066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5.7330</w:t>
            </w:r>
          </w:p>
        </w:tc>
        <w:tc>
          <w:tcPr>
            <w:tcW w:w="489" w:type="pct"/>
            <w:shd w:val="clear" w:color="auto" w:fill="FFC6CA"/>
            <w:noWrap/>
            <w:vAlign w:val="bottom"/>
          </w:tcPr>
          <w:p w14:paraId="169CCEDA" w14:textId="5754CEBB"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2.1058</w:t>
            </w:r>
          </w:p>
        </w:tc>
        <w:tc>
          <w:tcPr>
            <w:tcW w:w="558" w:type="pct"/>
            <w:shd w:val="clear" w:color="auto" w:fill="FFC6CA"/>
            <w:noWrap/>
            <w:vAlign w:val="bottom"/>
          </w:tcPr>
          <w:p w14:paraId="18B84083" w14:textId="6CA35DC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3.6272</w:t>
            </w:r>
          </w:p>
        </w:tc>
        <w:tc>
          <w:tcPr>
            <w:tcW w:w="417" w:type="pct"/>
            <w:shd w:val="clear" w:color="auto" w:fill="FFC6CA"/>
            <w:noWrap/>
            <w:vAlign w:val="bottom"/>
          </w:tcPr>
          <w:p w14:paraId="6F8FA7B8" w14:textId="75D40C0B"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210.00</w:t>
            </w:r>
          </w:p>
        </w:tc>
      </w:tr>
      <w:tr w:rsidR="007A3B71" w14:paraId="791C7678"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noWrap/>
            <w:vAlign w:val="bottom"/>
          </w:tcPr>
          <w:p w14:paraId="3DCA2312" w14:textId="1D817197"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002241.SZ</w:t>
            </w:r>
          </w:p>
        </w:tc>
        <w:tc>
          <w:tcPr>
            <w:tcW w:w="506" w:type="pct"/>
            <w:noWrap/>
            <w:vAlign w:val="bottom"/>
          </w:tcPr>
          <w:p w14:paraId="0EB04F5F" w14:textId="3F396E4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歌尔股份</w:t>
            </w:r>
          </w:p>
        </w:tc>
        <w:tc>
          <w:tcPr>
            <w:tcW w:w="589" w:type="pct"/>
            <w:noWrap/>
            <w:vAlign w:val="bottom"/>
          </w:tcPr>
          <w:p w14:paraId="1CE19D38" w14:textId="7BB0F60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16593F8B" w14:textId="27D5FFD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noWrap/>
            <w:vAlign w:val="bottom"/>
          </w:tcPr>
          <w:p w14:paraId="78E774EF" w14:textId="056008C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8</w:t>
            </w:r>
          </w:p>
        </w:tc>
        <w:tc>
          <w:tcPr>
            <w:tcW w:w="672" w:type="pct"/>
            <w:noWrap/>
            <w:vAlign w:val="bottom"/>
          </w:tcPr>
          <w:p w14:paraId="627DF2ED" w14:textId="616C3BE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7.5187</w:t>
            </w:r>
          </w:p>
        </w:tc>
        <w:tc>
          <w:tcPr>
            <w:tcW w:w="542" w:type="pct"/>
            <w:noWrap/>
            <w:vAlign w:val="bottom"/>
          </w:tcPr>
          <w:p w14:paraId="14DD62EA" w14:textId="204E784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4.7562</w:t>
            </w:r>
          </w:p>
        </w:tc>
        <w:tc>
          <w:tcPr>
            <w:tcW w:w="489" w:type="pct"/>
            <w:noWrap/>
            <w:vAlign w:val="bottom"/>
          </w:tcPr>
          <w:p w14:paraId="0C28654E" w14:textId="4A7448B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2.7624</w:t>
            </w:r>
          </w:p>
        </w:tc>
        <w:tc>
          <w:tcPr>
            <w:tcW w:w="558" w:type="pct"/>
            <w:noWrap/>
            <w:vAlign w:val="bottom"/>
          </w:tcPr>
          <w:p w14:paraId="04C320F4" w14:textId="5BF9E65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1.9938</w:t>
            </w:r>
          </w:p>
        </w:tc>
        <w:tc>
          <w:tcPr>
            <w:tcW w:w="417" w:type="pct"/>
            <w:noWrap/>
            <w:vAlign w:val="bottom"/>
          </w:tcPr>
          <w:p w14:paraId="4CD3EC48" w14:textId="3E999CB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48.39</w:t>
            </w:r>
          </w:p>
        </w:tc>
      </w:tr>
      <w:tr w:rsidR="007A3B71" w14:paraId="4A609456"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shd w:val="clear" w:color="auto" w:fill="FFC6CA"/>
            <w:noWrap/>
            <w:vAlign w:val="bottom"/>
          </w:tcPr>
          <w:p w14:paraId="53F9E483" w14:textId="5DE7618A"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002594.SZ</w:t>
            </w:r>
          </w:p>
        </w:tc>
        <w:tc>
          <w:tcPr>
            <w:tcW w:w="506" w:type="pct"/>
            <w:shd w:val="clear" w:color="auto" w:fill="FFC6CA"/>
            <w:noWrap/>
            <w:vAlign w:val="bottom"/>
          </w:tcPr>
          <w:p w14:paraId="34C04670" w14:textId="5F69F6D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比亚迪</w:t>
            </w:r>
          </w:p>
        </w:tc>
        <w:tc>
          <w:tcPr>
            <w:tcW w:w="589" w:type="pct"/>
            <w:shd w:val="clear" w:color="auto" w:fill="FFC6CA"/>
            <w:noWrap/>
            <w:vAlign w:val="bottom"/>
          </w:tcPr>
          <w:p w14:paraId="4F5B1027" w14:textId="4E5B6D88"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shd w:val="clear" w:color="auto" w:fill="FFC6CA"/>
            <w:noWrap/>
            <w:vAlign w:val="bottom"/>
          </w:tcPr>
          <w:p w14:paraId="73877D5C" w14:textId="3F992AA0"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shd w:val="clear" w:color="auto" w:fill="FFC6CA"/>
            <w:noWrap/>
            <w:vAlign w:val="bottom"/>
          </w:tcPr>
          <w:p w14:paraId="2FE1206B" w14:textId="46EC44A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9</w:t>
            </w:r>
          </w:p>
        </w:tc>
        <w:tc>
          <w:tcPr>
            <w:tcW w:w="672" w:type="pct"/>
            <w:shd w:val="clear" w:color="auto" w:fill="FFC6CA"/>
            <w:noWrap/>
            <w:vAlign w:val="bottom"/>
          </w:tcPr>
          <w:p w14:paraId="6AA57539" w14:textId="4D3A2B1F"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7.3303</w:t>
            </w:r>
          </w:p>
        </w:tc>
        <w:tc>
          <w:tcPr>
            <w:tcW w:w="542" w:type="pct"/>
            <w:shd w:val="clear" w:color="auto" w:fill="FFC6CA"/>
            <w:noWrap/>
            <w:vAlign w:val="bottom"/>
          </w:tcPr>
          <w:p w14:paraId="688EE911" w14:textId="3129AEB5"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3.7414</w:t>
            </w:r>
          </w:p>
        </w:tc>
        <w:tc>
          <w:tcPr>
            <w:tcW w:w="489" w:type="pct"/>
            <w:shd w:val="clear" w:color="auto" w:fill="FFC6CA"/>
            <w:noWrap/>
            <w:vAlign w:val="bottom"/>
          </w:tcPr>
          <w:p w14:paraId="4D901774" w14:textId="167E868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3.5889</w:t>
            </w:r>
          </w:p>
        </w:tc>
        <w:tc>
          <w:tcPr>
            <w:tcW w:w="558" w:type="pct"/>
            <w:shd w:val="clear" w:color="auto" w:fill="FFC6CA"/>
            <w:noWrap/>
            <w:vAlign w:val="bottom"/>
          </w:tcPr>
          <w:p w14:paraId="2BE094A9" w14:textId="71DC5FCC"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0.1525</w:t>
            </w:r>
          </w:p>
        </w:tc>
        <w:tc>
          <w:tcPr>
            <w:tcW w:w="417" w:type="pct"/>
            <w:shd w:val="clear" w:color="auto" w:fill="FFC6CA"/>
            <w:noWrap/>
            <w:vAlign w:val="bottom"/>
          </w:tcPr>
          <w:p w14:paraId="61B3D0DD" w14:textId="6821CE12"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306.78</w:t>
            </w:r>
          </w:p>
        </w:tc>
      </w:tr>
      <w:tr w:rsidR="007A3B71" w14:paraId="7D72E322" w14:textId="77777777" w:rsidTr="003022D2">
        <w:trPr>
          <w:trHeight w:val="310"/>
        </w:trPr>
        <w:tc>
          <w:tcPr>
            <w:cnfStyle w:val="001000000000" w:firstRow="0" w:lastRow="0" w:firstColumn="1" w:lastColumn="0" w:oddVBand="0" w:evenVBand="0" w:oddHBand="0" w:evenHBand="0" w:firstRowFirstColumn="0" w:firstRowLastColumn="0" w:lastRowFirstColumn="0" w:lastRowLastColumn="0"/>
            <w:tcW w:w="540" w:type="pct"/>
            <w:noWrap/>
            <w:vAlign w:val="bottom"/>
          </w:tcPr>
          <w:p w14:paraId="76279037" w14:textId="29ED409C" w:rsidR="007A3B71" w:rsidRPr="003022D2" w:rsidRDefault="007A3B71" w:rsidP="007A3B71">
            <w:pPr>
              <w:jc w:val="center"/>
              <w:rPr>
                <w:rFonts w:ascii="Times New Roman" w:hAnsi="Times New Roman" w:cs="Times New Roman"/>
                <w:sz w:val="18"/>
                <w:szCs w:val="18"/>
              </w:rPr>
            </w:pPr>
            <w:r w:rsidRPr="007A3B71">
              <w:rPr>
                <w:rFonts w:ascii="Times New Roman" w:hAnsi="Times New Roman" w:cs="Times New Roman" w:hint="eastAsia"/>
                <w:sz w:val="18"/>
                <w:szCs w:val="18"/>
              </w:rPr>
              <w:t>002459.SZ</w:t>
            </w:r>
          </w:p>
        </w:tc>
        <w:tc>
          <w:tcPr>
            <w:tcW w:w="506" w:type="pct"/>
            <w:noWrap/>
            <w:vAlign w:val="bottom"/>
          </w:tcPr>
          <w:p w14:paraId="66D47A2D" w14:textId="2664FF34"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晶澳科技</w:t>
            </w:r>
          </w:p>
        </w:tc>
        <w:tc>
          <w:tcPr>
            <w:tcW w:w="589" w:type="pct"/>
            <w:noWrap/>
            <w:vAlign w:val="bottom"/>
          </w:tcPr>
          <w:p w14:paraId="005FF548" w14:textId="73769D51"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2021-11-12</w:t>
            </w:r>
          </w:p>
        </w:tc>
        <w:tc>
          <w:tcPr>
            <w:tcW w:w="436" w:type="pct"/>
            <w:noWrap/>
            <w:vAlign w:val="bottom"/>
          </w:tcPr>
          <w:p w14:paraId="7C5171F7" w14:textId="0A1E7E46"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深股通</w:t>
            </w:r>
          </w:p>
        </w:tc>
        <w:tc>
          <w:tcPr>
            <w:tcW w:w="250" w:type="pct"/>
            <w:noWrap/>
            <w:vAlign w:val="bottom"/>
          </w:tcPr>
          <w:p w14:paraId="5B8E1461" w14:textId="5D84737E"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10</w:t>
            </w:r>
          </w:p>
        </w:tc>
        <w:tc>
          <w:tcPr>
            <w:tcW w:w="672" w:type="pct"/>
            <w:noWrap/>
            <w:vAlign w:val="bottom"/>
          </w:tcPr>
          <w:p w14:paraId="74B0BB01" w14:textId="2E77F107"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7.1907</w:t>
            </w:r>
          </w:p>
        </w:tc>
        <w:tc>
          <w:tcPr>
            <w:tcW w:w="542" w:type="pct"/>
            <w:noWrap/>
            <w:vAlign w:val="bottom"/>
          </w:tcPr>
          <w:p w14:paraId="3B03198A" w14:textId="550C834D"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2.0413</w:t>
            </w:r>
          </w:p>
        </w:tc>
        <w:tc>
          <w:tcPr>
            <w:tcW w:w="489" w:type="pct"/>
            <w:noWrap/>
            <w:vAlign w:val="bottom"/>
          </w:tcPr>
          <w:p w14:paraId="00F7867F" w14:textId="54CA922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5.1493</w:t>
            </w:r>
          </w:p>
        </w:tc>
        <w:tc>
          <w:tcPr>
            <w:tcW w:w="558" w:type="pct"/>
            <w:noWrap/>
            <w:vAlign w:val="bottom"/>
          </w:tcPr>
          <w:p w14:paraId="32EF74EE" w14:textId="2E101F49"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-3.1080</w:t>
            </w:r>
          </w:p>
        </w:tc>
        <w:tc>
          <w:tcPr>
            <w:tcW w:w="417" w:type="pct"/>
            <w:noWrap/>
            <w:vAlign w:val="bottom"/>
          </w:tcPr>
          <w:p w14:paraId="27658A2F" w14:textId="2D299563" w:rsidR="007A3B71" w:rsidRDefault="007A3B71" w:rsidP="007A3B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A3B71">
              <w:rPr>
                <w:rFonts w:ascii="Times New Roman" w:hAnsi="Times New Roman" w:cs="Times New Roman" w:hint="eastAsia"/>
                <w:sz w:val="18"/>
                <w:szCs w:val="18"/>
              </w:rPr>
              <w:t>93.00</w:t>
            </w:r>
          </w:p>
        </w:tc>
      </w:tr>
    </w:tbl>
    <w:p w14:paraId="3B807E6F" w14:textId="77777777" w:rsidR="00037E01" w:rsidRDefault="00204A8E">
      <w:pPr>
        <w:spacing w:afterLines="50" w:after="120"/>
        <w:rPr>
          <w:rFonts w:ascii="Times New Roman" w:eastAsia="楷体" w:hAnsi="Times New Roman" w:cs="Times New Roman"/>
          <w:i/>
          <w:iCs/>
          <w:sz w:val="18"/>
          <w:szCs w:val="18"/>
        </w:rPr>
      </w:pPr>
      <w:r>
        <w:rPr>
          <w:rFonts w:ascii="Times New Roman" w:eastAsia="楷体" w:hAnsi="Times New Roman" w:cs="Times New Roman"/>
          <w:i/>
          <w:iCs/>
          <w:sz w:val="18"/>
          <w:szCs w:val="18"/>
        </w:rPr>
        <w:t>资料来源：</w:t>
      </w:r>
      <w:r>
        <w:rPr>
          <w:rFonts w:ascii="Times New Roman" w:eastAsia="楷体" w:hAnsi="Times New Roman" w:cs="Times New Roman"/>
          <w:i/>
          <w:iCs/>
          <w:sz w:val="18"/>
          <w:szCs w:val="18"/>
        </w:rPr>
        <w:t>Wind</w:t>
      </w:r>
      <w:r>
        <w:rPr>
          <w:rFonts w:ascii="Times New Roman" w:eastAsia="楷体" w:hAnsi="Times New Roman" w:cs="Times New Roman"/>
          <w:i/>
          <w:iCs/>
          <w:sz w:val="18"/>
          <w:szCs w:val="18"/>
        </w:rPr>
        <w:t>，首创证券</w:t>
      </w:r>
    </w:p>
    <w:p w14:paraId="4B7F39EC" w14:textId="77777777" w:rsidR="00037E01" w:rsidRPr="003022D2" w:rsidRDefault="00037E01">
      <w:pPr>
        <w:spacing w:afterLines="50" w:after="120"/>
        <w:rPr>
          <w:rFonts w:ascii="Times New Roman" w:eastAsia="楷体" w:hAnsi="Times New Roman"/>
          <w:color w:val="333333"/>
          <w:shd w:val="clear" w:color="auto" w:fill="FFFFFF"/>
        </w:rPr>
        <w:sectPr w:rsidR="00037E01" w:rsidRPr="003022D2">
          <w:headerReference w:type="default" r:id="rId10"/>
          <w:footerReference w:type="default" r:id="rId11"/>
          <w:headerReference w:type="first" r:id="rId12"/>
          <w:footerReference w:type="first" r:id="rId13"/>
          <w:pgSz w:w="11906" w:h="16838"/>
          <w:pgMar w:top="1134" w:right="851" w:bottom="1134" w:left="851" w:header="851" w:footer="992" w:gutter="0"/>
          <w:pgNumType w:start="0"/>
          <w:cols w:sep="1" w:space="425"/>
          <w:titlePg/>
          <w:docGrid w:linePitch="312" w:charSpace="38264"/>
        </w:sectPr>
      </w:pPr>
    </w:p>
    <w:p w14:paraId="6ADDE527" w14:textId="77777777" w:rsidR="00037E01" w:rsidRDefault="00204A8E">
      <w:pPr>
        <w:spacing w:afterLines="50" w:after="120"/>
        <w:rPr>
          <w:rFonts w:ascii="黑体" w:eastAsia="黑体" w:hAnsi="黑体" w:cs="Arial"/>
          <w:color w:val="333333"/>
          <w:sz w:val="24"/>
          <w:szCs w:val="24"/>
          <w:shd w:val="clear" w:color="auto" w:fill="FFFFFF"/>
        </w:rPr>
      </w:pPr>
      <w:r>
        <w:rPr>
          <w:rFonts w:ascii="黑体" w:eastAsia="黑体" w:hAnsi="黑体" w:cs="Arial" w:hint="eastAsia"/>
          <w:color w:val="333333"/>
          <w:sz w:val="24"/>
          <w:szCs w:val="24"/>
          <w:shd w:val="clear" w:color="auto" w:fill="FFFFFF"/>
        </w:rPr>
        <w:lastRenderedPageBreak/>
        <w:t>分析师声明</w:t>
      </w:r>
    </w:p>
    <w:p w14:paraId="5DAD01E0" w14:textId="77777777" w:rsidR="00037E01" w:rsidRDefault="00204A8E">
      <w:pPr>
        <w:spacing w:afterLines="50" w:after="120"/>
        <w:rPr>
          <w:rFonts w:ascii="楷体" w:eastAsia="楷体" w:hAnsi="楷体" w:cs="Arial"/>
          <w:color w:val="333333"/>
          <w:shd w:val="clear" w:color="auto" w:fill="FFFFFF"/>
        </w:rPr>
      </w:pPr>
      <w:r>
        <w:rPr>
          <w:rFonts w:ascii="楷体" w:eastAsia="楷体" w:hAnsi="楷体" w:cs="Arial"/>
          <w:color w:val="333333"/>
          <w:shd w:val="clear" w:color="auto" w:fill="FFFFFF"/>
        </w:rPr>
        <w:t>本报告清晰准确地反映了作者的研究观点，力求独立、客观和公正，结论不受任何第三方的授意或影响，作者将对报告的内容和观点负责。</w:t>
      </w:r>
    </w:p>
    <w:p w14:paraId="512DE031" w14:textId="77777777" w:rsidR="00037E01" w:rsidRDefault="00204A8E">
      <w:pPr>
        <w:spacing w:before="240" w:afterLines="50" w:after="120"/>
        <w:rPr>
          <w:rFonts w:ascii="黑体" w:eastAsia="黑体" w:hAnsi="黑体" w:cs="Arial"/>
          <w:color w:val="333333"/>
          <w:sz w:val="24"/>
          <w:szCs w:val="24"/>
          <w:shd w:val="clear" w:color="auto" w:fill="FFFFFF"/>
        </w:rPr>
      </w:pPr>
      <w:r>
        <w:rPr>
          <w:rFonts w:ascii="黑体" w:eastAsia="黑体" w:hAnsi="黑体" w:cs="Arial" w:hint="eastAsia"/>
          <w:color w:val="333333"/>
          <w:sz w:val="24"/>
          <w:szCs w:val="24"/>
          <w:shd w:val="clear" w:color="auto" w:fill="FFFFFF"/>
        </w:rPr>
        <w:t>免责声明</w:t>
      </w:r>
    </w:p>
    <w:p w14:paraId="67FE8E44" w14:textId="77777777" w:rsidR="00037E01" w:rsidRDefault="00204A8E">
      <w:pPr>
        <w:spacing w:after="120"/>
        <w:rPr>
          <w:rFonts w:ascii="楷体" w:eastAsia="楷体" w:hAnsi="楷体" w:cs="Arial"/>
          <w:color w:val="333333"/>
          <w:shd w:val="clear" w:color="auto" w:fill="FFFFFF"/>
        </w:rPr>
      </w:pPr>
      <w:r>
        <w:rPr>
          <w:rFonts w:ascii="楷体" w:eastAsia="楷体" w:hAnsi="楷体" w:cs="Arial"/>
          <w:color w:val="333333"/>
          <w:shd w:val="clear" w:color="auto" w:fill="FFFFFF"/>
        </w:rPr>
        <w:t>本报告由首创</w:t>
      </w:r>
      <w:r>
        <w:rPr>
          <w:rFonts w:ascii="楷体" w:eastAsia="楷体" w:hAnsi="楷体" w:cs="Arial" w:hint="eastAsia"/>
          <w:color w:val="333333"/>
          <w:shd w:val="clear" w:color="auto" w:fill="FFFFFF"/>
        </w:rPr>
        <w:t>证券股份</w:t>
      </w:r>
      <w:r>
        <w:rPr>
          <w:rFonts w:ascii="楷体" w:eastAsia="楷体" w:hAnsi="楷体" w:cs="Arial"/>
          <w:color w:val="333333"/>
          <w:shd w:val="clear" w:color="auto" w:fill="FFFFFF"/>
        </w:rPr>
        <w:t>有限公司（已具备中国证监会批复的证券投资咨询业务资格）制作。本报告所在资料的来源及观点的出处皆被首创证券认为可靠，但首创证券不保证其准确性或完整性。该等信息、意见并未考虑到获取本报告人员的具体投资目的、财务状况以及特定需求，在任何时候均不构成对任何人的个人推荐。投资者应当对本报告中的信息和意见进行独立评估，并应同时考量各自的投资目的、财务状况和特定需求，必要时就法律、商业、财务、税收等方面咨询专业财务顾问的意见。对依据或者使用本报告所造成的一切后果，首创证券及/或其关</w:t>
      </w:r>
      <w:r>
        <w:rPr>
          <w:rFonts w:ascii="楷体" w:eastAsia="楷体" w:hAnsi="楷体" w:cs="Arial" w:hint="eastAsia"/>
          <w:color w:val="333333"/>
          <w:shd w:val="clear" w:color="auto" w:fill="FFFFFF"/>
        </w:rPr>
        <w:t>联人员均不承担任何法律责任。</w:t>
      </w:r>
      <w:r>
        <w:rPr>
          <w:rFonts w:ascii="楷体" w:eastAsia="楷体" w:hAnsi="楷体" w:cs="Arial" w:hint="eastAsia"/>
          <w:color w:val="3B3838" w:themeColor="background2" w:themeShade="40"/>
          <w:shd w:val="clear" w:color="auto" w:fill="FFFFFF"/>
        </w:rPr>
        <w:t>投资者需自主作出投资决策并自行承担投资风险，任何形式的分享证券投资收益或者分担证券投资损失的书面或口头承诺均为无效。</w:t>
      </w:r>
    </w:p>
    <w:p w14:paraId="2BA4B812" w14:textId="77777777" w:rsidR="00037E01" w:rsidRDefault="00204A8E">
      <w:pPr>
        <w:spacing w:after="120"/>
        <w:rPr>
          <w:rFonts w:ascii="楷体" w:eastAsia="楷体" w:hAnsi="楷体" w:cs="Arial"/>
          <w:color w:val="333333"/>
          <w:shd w:val="clear" w:color="auto" w:fill="FFFFFF"/>
        </w:rPr>
      </w:pPr>
      <w:r>
        <w:rPr>
          <w:rFonts w:ascii="楷体" w:eastAsia="楷体" w:hAnsi="楷体" w:cs="Arial" w:hint="eastAsia"/>
          <w:color w:val="333333"/>
          <w:shd w:val="clear" w:color="auto" w:fill="FFFFFF"/>
        </w:rPr>
        <w:t>本报告所载的信息、材料或分析工具仅提供给阁下作参考用，不是也不应被视为出售、购买或认购证券或其他金融工具的要约或要约邀请。该等信息、材料及预测无需通知即可随时更改。过往的表现亦不应作为日后表现的预示和担保。在不同时期，首创证券可能会发出与本报告所载意见、评估及预测不一致的研究报告。</w:t>
      </w:r>
    </w:p>
    <w:p w14:paraId="69365D8F" w14:textId="77777777" w:rsidR="00037E01" w:rsidRDefault="00204A8E">
      <w:pPr>
        <w:spacing w:after="120"/>
        <w:rPr>
          <w:rFonts w:ascii="楷体" w:eastAsia="楷体" w:hAnsi="楷体" w:cs="Arial"/>
          <w:color w:val="333333"/>
          <w:shd w:val="clear" w:color="auto" w:fill="FFFFFF"/>
        </w:rPr>
      </w:pPr>
      <w:r>
        <w:rPr>
          <w:rFonts w:ascii="楷体" w:eastAsia="楷体" w:hAnsi="楷体" w:cs="Arial" w:hint="eastAsia"/>
          <w:color w:val="333333"/>
          <w:shd w:val="clear" w:color="auto" w:fill="FFFFFF"/>
        </w:rPr>
        <w:t>首创证券的销售人员、交易人员以及其他专业人士可能会依据不同假设和标准、采用不同的分析方法而口头或书面发表与本报告意见及建议不一致的市场评论和</w:t>
      </w:r>
      <w:r>
        <w:rPr>
          <w:rFonts w:ascii="楷体" w:eastAsia="楷体" w:hAnsi="楷体" w:cs="Arial"/>
          <w:color w:val="333333"/>
          <w:shd w:val="clear" w:color="auto" w:fill="FFFFFF"/>
        </w:rPr>
        <w:t>/或交易观点。首创证券没有将此意见及建议向报告所有接收者进行更新的义务。首创证券的自营部门以及其他投资业务部门可能独立做出与本报告中的意见或建议不一致的投资决策。</w:t>
      </w:r>
    </w:p>
    <w:p w14:paraId="65B01AAD" w14:textId="77777777" w:rsidR="00037E01" w:rsidRDefault="00204A8E">
      <w:pPr>
        <w:spacing w:after="120"/>
        <w:rPr>
          <w:rFonts w:ascii="楷体" w:eastAsia="楷体" w:hAnsi="楷体" w:cs="Arial"/>
          <w:color w:val="333333"/>
          <w:shd w:val="clear" w:color="auto" w:fill="FFFFFF"/>
        </w:rPr>
      </w:pPr>
      <w:r>
        <w:rPr>
          <w:rFonts w:ascii="楷体" w:eastAsia="楷体" w:hAnsi="楷体" w:cs="Arial"/>
          <w:color w:val="333333"/>
          <w:shd w:val="clear" w:color="auto" w:fill="FFFFFF"/>
        </w:rPr>
        <w:t>在法律许可的情况下，首创证券可能会持有本报告中提及公司所发行的证券头寸并进行交易，也可能为这些公司提供或争取提供投资银行业务服务。因此，投资者应当考虑到首创证券及/或其相关人员可能存在影响本报告观点客观性的潜在利益冲突。投资者请勿将本报告视为投资或其他决定的唯一信赖依据。</w:t>
      </w:r>
    </w:p>
    <w:p w14:paraId="2FFC55FC" w14:textId="77777777" w:rsidR="00037E01" w:rsidRDefault="00204A8E">
      <w:pPr>
        <w:rPr>
          <w:rFonts w:ascii="楷体" w:eastAsia="楷体" w:hAnsi="楷体" w:cs="Arial"/>
          <w:color w:val="333333"/>
          <w:shd w:val="clear" w:color="auto" w:fill="FFFFFF"/>
        </w:rPr>
      </w:pPr>
      <w:r>
        <w:rPr>
          <w:rFonts w:ascii="楷体" w:eastAsia="楷体" w:hAnsi="楷体" w:cs="Arial" w:hint="eastAsia"/>
          <w:color w:val="333333"/>
          <w:shd w:val="clear" w:color="auto" w:fill="FFFFFF"/>
        </w:rPr>
        <w:t>本报告的版权仅为首创证券所有，未经书面许可任何机构和个人不得以任何形式转发、翻版、复制、刊登、发表或引用。</w:t>
      </w:r>
    </w:p>
    <w:p w14:paraId="7E7B770A" w14:textId="77777777" w:rsidR="00037E01" w:rsidRDefault="00037E01">
      <w:pPr>
        <w:rPr>
          <w:rFonts w:ascii="楷体" w:eastAsia="楷体" w:hAnsi="楷体" w:cs="Arial"/>
          <w:color w:val="333333"/>
          <w:shd w:val="clear" w:color="auto" w:fill="FFFFFF"/>
        </w:rPr>
      </w:pPr>
    </w:p>
    <w:p w14:paraId="6192BA4F" w14:textId="77777777" w:rsidR="00037E01" w:rsidRDefault="00204A8E">
      <w:pPr>
        <w:spacing w:beforeLines="50" w:before="120" w:afterLines="50" w:after="120"/>
        <w:rPr>
          <w:rFonts w:ascii="黑体" w:eastAsia="黑体" w:hAnsi="黑体" w:cs="Arial"/>
          <w:color w:val="333333"/>
          <w:sz w:val="24"/>
          <w:szCs w:val="24"/>
          <w:shd w:val="clear" w:color="auto" w:fill="FFFFFF"/>
        </w:rPr>
      </w:pPr>
      <w:r>
        <w:rPr>
          <w:rFonts w:ascii="黑体" w:eastAsia="黑体" w:hAnsi="黑体" w:cs="Arial" w:hint="eastAsia"/>
          <w:color w:val="333333"/>
          <w:sz w:val="24"/>
          <w:szCs w:val="24"/>
          <w:shd w:val="clear" w:color="auto" w:fill="FFFFFF"/>
        </w:rPr>
        <w:t>评级说明</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9"/>
        <w:gridCol w:w="567"/>
        <w:gridCol w:w="5216"/>
      </w:tblGrid>
      <w:tr w:rsidR="00037E01" w14:paraId="61A258C4" w14:textId="77777777">
        <w:tc>
          <w:tcPr>
            <w:tcW w:w="4139" w:type="dxa"/>
          </w:tcPr>
          <w:tbl>
            <w:tblPr>
              <w:tblStyle w:val="ac"/>
              <w:tblW w:w="0" w:type="auto"/>
              <w:tblBorders>
                <w:top w:val="single" w:sz="8" w:space="0" w:color="DA0000"/>
                <w:left w:val="none" w:sz="0" w:space="0" w:color="auto"/>
                <w:bottom w:val="single" w:sz="8" w:space="0" w:color="DA0000"/>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459"/>
            </w:tblGrid>
            <w:tr w:rsidR="00037E01" w14:paraId="4F4DE05C" w14:textId="77777777">
              <w:trPr>
                <w:trHeight w:val="397"/>
              </w:trPr>
              <w:tc>
                <w:tcPr>
                  <w:tcW w:w="567" w:type="dxa"/>
                  <w:vAlign w:val="bottom"/>
                </w:tcPr>
                <w:p w14:paraId="55025651" w14:textId="77777777" w:rsidR="00037E01" w:rsidRDefault="00204A8E">
                  <w:pPr>
                    <w:spacing w:afterLines="50" w:after="120"/>
                    <w:jc w:val="right"/>
                    <w:rPr>
                      <w:rFonts w:ascii="Times New Roman" w:eastAsia="黑体" w:hAnsi="Times New Roman" w:cs="Times New Roman"/>
                      <w:color w:val="333333"/>
                      <w:sz w:val="18"/>
                      <w:szCs w:val="18"/>
                      <w:shd w:val="clear" w:color="auto" w:fill="FFFFFF"/>
                    </w:rPr>
                  </w:pPr>
                  <w:r>
                    <w:rPr>
                      <w:rFonts w:ascii="Times New Roman" w:eastAsia="黑体" w:hAnsi="Times New Roman" w:cs="Times New Roman"/>
                      <w:color w:val="333333"/>
                      <w:sz w:val="18"/>
                      <w:szCs w:val="18"/>
                      <w:shd w:val="clear" w:color="auto" w:fill="FFFFFF"/>
                    </w:rPr>
                    <w:t>1.</w:t>
                  </w:r>
                </w:p>
              </w:tc>
              <w:tc>
                <w:tcPr>
                  <w:tcW w:w="3459" w:type="dxa"/>
                  <w:vAlign w:val="bottom"/>
                </w:tcPr>
                <w:p w14:paraId="55B657A9" w14:textId="77777777" w:rsidR="00037E01" w:rsidRDefault="00204A8E">
                  <w:pPr>
                    <w:spacing w:afterLines="50" w:after="120"/>
                    <w:rPr>
                      <w:rFonts w:ascii="Times New Roman" w:eastAsia="黑体" w:hAnsi="Times New Roman" w:cs="Times New Roman"/>
                      <w:sz w:val="18"/>
                      <w:szCs w:val="18"/>
                    </w:rPr>
                  </w:pPr>
                  <w:r>
                    <w:rPr>
                      <w:rFonts w:ascii="Times New Roman" w:eastAsia="黑体" w:hAnsi="Times New Roman" w:cs="Times New Roman"/>
                      <w:sz w:val="18"/>
                      <w:szCs w:val="18"/>
                    </w:rPr>
                    <w:t>投资建议的比较标准</w:t>
                  </w:r>
                </w:p>
              </w:tc>
            </w:tr>
            <w:tr w:rsidR="00037E01" w14:paraId="2691E624" w14:textId="77777777">
              <w:trPr>
                <w:trHeight w:val="277"/>
              </w:trPr>
              <w:tc>
                <w:tcPr>
                  <w:tcW w:w="567" w:type="dxa"/>
                  <w:vAlign w:val="bottom"/>
                </w:tcPr>
                <w:p w14:paraId="79A50DD3" w14:textId="77777777" w:rsidR="00037E01" w:rsidRDefault="00037E01">
                  <w:pPr>
                    <w:spacing w:afterLines="50" w:after="120"/>
                    <w:jc w:val="right"/>
                    <w:rPr>
                      <w:rFonts w:ascii="Times New Roman" w:eastAsia="仿宋" w:hAnsi="Times New Roman" w:cs="Times New Roman"/>
                      <w:color w:val="333333"/>
                      <w:sz w:val="18"/>
                      <w:szCs w:val="18"/>
                      <w:shd w:val="clear" w:color="auto" w:fill="FFFFFF"/>
                    </w:rPr>
                  </w:pPr>
                </w:p>
              </w:tc>
              <w:tc>
                <w:tcPr>
                  <w:tcW w:w="3459" w:type="dxa"/>
                </w:tcPr>
                <w:p w14:paraId="4C1040C7" w14:textId="77777777" w:rsidR="00037E01" w:rsidRDefault="00204A8E">
                  <w:pPr>
                    <w:spacing w:afterLines="50" w:after="120"/>
                    <w:rPr>
                      <w:rFonts w:ascii="Times New Roman" w:eastAsia="楷体" w:hAnsi="Times New Roman" w:cs="Times New Roman"/>
                      <w:b/>
                      <w:sz w:val="18"/>
                      <w:szCs w:val="18"/>
                    </w:rPr>
                  </w:pPr>
                  <w:r>
                    <w:rPr>
                      <w:rFonts w:ascii="Times New Roman" w:eastAsia="楷体" w:hAnsi="Times New Roman" w:cs="Times New Roman"/>
                      <w:sz w:val="18"/>
                      <w:szCs w:val="18"/>
                    </w:rPr>
                    <w:t>投资评级分为股票评级和行业评级</w:t>
                  </w:r>
                </w:p>
              </w:tc>
            </w:tr>
            <w:tr w:rsidR="00037E01" w14:paraId="067476F1" w14:textId="77777777">
              <w:trPr>
                <w:trHeight w:val="850"/>
              </w:trPr>
              <w:tc>
                <w:tcPr>
                  <w:tcW w:w="567" w:type="dxa"/>
                  <w:vAlign w:val="bottom"/>
                </w:tcPr>
                <w:p w14:paraId="4636B05F" w14:textId="77777777" w:rsidR="00037E01" w:rsidRDefault="00037E01">
                  <w:pPr>
                    <w:spacing w:afterLines="50" w:after="120"/>
                    <w:jc w:val="right"/>
                    <w:rPr>
                      <w:rFonts w:ascii="Times New Roman" w:eastAsia="仿宋" w:hAnsi="Times New Roman" w:cs="Times New Roman"/>
                      <w:color w:val="333333"/>
                      <w:sz w:val="18"/>
                      <w:szCs w:val="18"/>
                      <w:shd w:val="clear" w:color="auto" w:fill="FFFFFF"/>
                    </w:rPr>
                  </w:pPr>
                </w:p>
              </w:tc>
              <w:tc>
                <w:tcPr>
                  <w:tcW w:w="3459" w:type="dxa"/>
                </w:tcPr>
                <w:p w14:paraId="3B18F651" w14:textId="77777777" w:rsidR="00037E01" w:rsidRDefault="00204A8E">
                  <w:pPr>
                    <w:spacing w:afterLines="50" w:after="120"/>
                    <w:rPr>
                      <w:rFonts w:ascii="Times New Roman" w:eastAsia="楷体" w:hAnsi="Times New Roman" w:cs="Times New Roman"/>
                      <w:sz w:val="18"/>
                      <w:szCs w:val="18"/>
                    </w:rPr>
                  </w:pPr>
                  <w:r>
                    <w:rPr>
                      <w:rFonts w:ascii="Times New Roman" w:eastAsia="楷体" w:hAnsi="Times New Roman" w:cs="Times New Roman"/>
                      <w:sz w:val="18"/>
                      <w:szCs w:val="18"/>
                    </w:rPr>
                    <w:t>以报告发布后的</w:t>
                  </w:r>
                  <w:r>
                    <w:rPr>
                      <w:rFonts w:ascii="Times New Roman" w:eastAsia="楷体" w:hAnsi="Times New Roman" w:cs="Times New Roman"/>
                      <w:sz w:val="18"/>
                      <w:szCs w:val="18"/>
                    </w:rPr>
                    <w:t>6</w:t>
                  </w:r>
                  <w:r>
                    <w:rPr>
                      <w:rFonts w:ascii="Times New Roman" w:eastAsia="楷体" w:hAnsi="Times New Roman" w:cs="Times New Roman"/>
                      <w:sz w:val="18"/>
                      <w:szCs w:val="18"/>
                    </w:rPr>
                    <w:t>个月内的市场表现为比较标准，报告发布日后的</w:t>
                  </w:r>
                  <w:r>
                    <w:rPr>
                      <w:rFonts w:ascii="Times New Roman" w:eastAsia="楷体" w:hAnsi="Times New Roman" w:cs="Times New Roman"/>
                      <w:sz w:val="18"/>
                      <w:szCs w:val="18"/>
                    </w:rPr>
                    <w:t>6</w:t>
                  </w:r>
                  <w:r>
                    <w:rPr>
                      <w:rFonts w:ascii="Times New Roman" w:eastAsia="楷体" w:hAnsi="Times New Roman" w:cs="Times New Roman"/>
                      <w:sz w:val="18"/>
                      <w:szCs w:val="18"/>
                    </w:rPr>
                    <w:t>个月内的公司股价（或行业指数）的涨跌幅相对同期的沪深</w:t>
                  </w:r>
                  <w:r>
                    <w:rPr>
                      <w:rFonts w:ascii="Times New Roman" w:eastAsia="楷体" w:hAnsi="Times New Roman" w:cs="Times New Roman"/>
                      <w:sz w:val="18"/>
                      <w:szCs w:val="18"/>
                    </w:rPr>
                    <w:t>300</w:t>
                  </w:r>
                  <w:r>
                    <w:rPr>
                      <w:rFonts w:ascii="Times New Roman" w:eastAsia="楷体" w:hAnsi="Times New Roman" w:cs="Times New Roman"/>
                      <w:sz w:val="18"/>
                      <w:szCs w:val="18"/>
                    </w:rPr>
                    <w:t>指数的涨跌幅为基准</w:t>
                  </w:r>
                </w:p>
                <w:p w14:paraId="47AE580B" w14:textId="77777777" w:rsidR="00037E01" w:rsidRDefault="00037E01">
                  <w:pPr>
                    <w:spacing w:afterLines="50" w:after="120"/>
                    <w:rPr>
                      <w:rFonts w:ascii="Times New Roman" w:eastAsia="楷体" w:hAnsi="Times New Roman" w:cs="Times New Roman"/>
                      <w:b/>
                      <w:sz w:val="18"/>
                      <w:szCs w:val="18"/>
                    </w:rPr>
                  </w:pPr>
                </w:p>
              </w:tc>
            </w:tr>
            <w:tr w:rsidR="00037E01" w14:paraId="19E10059" w14:textId="77777777">
              <w:trPr>
                <w:trHeight w:val="397"/>
              </w:trPr>
              <w:tc>
                <w:tcPr>
                  <w:tcW w:w="567" w:type="dxa"/>
                  <w:vAlign w:val="bottom"/>
                </w:tcPr>
                <w:p w14:paraId="3D039FF7" w14:textId="77777777" w:rsidR="00037E01" w:rsidRDefault="00204A8E">
                  <w:pPr>
                    <w:spacing w:afterLines="50" w:after="120"/>
                    <w:jc w:val="right"/>
                    <w:rPr>
                      <w:rFonts w:ascii="Times New Roman" w:eastAsia="黑体" w:hAnsi="Times New Roman" w:cs="Times New Roman"/>
                      <w:color w:val="333333"/>
                      <w:sz w:val="18"/>
                      <w:szCs w:val="18"/>
                      <w:shd w:val="clear" w:color="auto" w:fill="FFFFFF"/>
                    </w:rPr>
                  </w:pPr>
                  <w:r>
                    <w:rPr>
                      <w:rFonts w:ascii="Times New Roman" w:eastAsia="黑体" w:hAnsi="Times New Roman" w:cs="Times New Roman"/>
                      <w:color w:val="333333"/>
                      <w:sz w:val="18"/>
                      <w:szCs w:val="18"/>
                      <w:shd w:val="clear" w:color="auto" w:fill="FFFFFF"/>
                    </w:rPr>
                    <w:t>2.</w:t>
                  </w:r>
                </w:p>
              </w:tc>
              <w:tc>
                <w:tcPr>
                  <w:tcW w:w="3459" w:type="dxa"/>
                  <w:vAlign w:val="bottom"/>
                </w:tcPr>
                <w:p w14:paraId="4F1CAB35" w14:textId="77777777" w:rsidR="00037E01" w:rsidRDefault="00204A8E">
                  <w:pPr>
                    <w:spacing w:afterLines="50" w:after="120"/>
                    <w:rPr>
                      <w:rFonts w:ascii="Times New Roman" w:eastAsia="黑体" w:hAnsi="Times New Roman" w:cs="Times New Roman"/>
                      <w:color w:val="333333"/>
                      <w:sz w:val="18"/>
                      <w:szCs w:val="18"/>
                      <w:shd w:val="clear" w:color="auto" w:fill="FFFFFF"/>
                    </w:rPr>
                  </w:pPr>
                  <w:r>
                    <w:rPr>
                      <w:rFonts w:ascii="Times New Roman" w:eastAsia="黑体" w:hAnsi="Times New Roman" w:cs="Times New Roman"/>
                      <w:sz w:val="18"/>
                      <w:szCs w:val="18"/>
                    </w:rPr>
                    <w:t>投资建议的评级标准</w:t>
                  </w:r>
                </w:p>
              </w:tc>
            </w:tr>
            <w:tr w:rsidR="00037E01" w14:paraId="73C59A4A" w14:textId="77777777">
              <w:trPr>
                <w:trHeight w:val="1012"/>
              </w:trPr>
              <w:tc>
                <w:tcPr>
                  <w:tcW w:w="567" w:type="dxa"/>
                  <w:vAlign w:val="center"/>
                </w:tcPr>
                <w:p w14:paraId="67D725FB" w14:textId="77777777" w:rsidR="00037E01" w:rsidRDefault="00037E01">
                  <w:pPr>
                    <w:spacing w:afterLines="50" w:after="120"/>
                    <w:rPr>
                      <w:rFonts w:ascii="Times New Roman" w:eastAsia="楷体" w:hAnsi="Times New Roman" w:cs="Times New Roman"/>
                      <w:color w:val="333333"/>
                      <w:sz w:val="23"/>
                      <w:szCs w:val="23"/>
                      <w:shd w:val="clear" w:color="auto" w:fill="FFFFFF"/>
                    </w:rPr>
                  </w:pPr>
                </w:p>
              </w:tc>
              <w:tc>
                <w:tcPr>
                  <w:tcW w:w="3459" w:type="dxa"/>
                </w:tcPr>
                <w:p w14:paraId="43D8EB3F"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报告发布日后的</w:t>
                  </w:r>
                  <w:r>
                    <w:rPr>
                      <w:rFonts w:ascii="Times New Roman" w:eastAsia="楷体" w:hAnsi="Times New Roman" w:cs="Times New Roman"/>
                      <w:sz w:val="18"/>
                      <w:szCs w:val="18"/>
                    </w:rPr>
                    <w:t>6</w:t>
                  </w:r>
                  <w:r>
                    <w:rPr>
                      <w:rFonts w:ascii="Times New Roman" w:eastAsia="楷体" w:hAnsi="Times New Roman" w:cs="Times New Roman"/>
                      <w:sz w:val="18"/>
                      <w:szCs w:val="18"/>
                    </w:rPr>
                    <w:t>个月内的公司股价（或行业指数）的涨跌幅相对同期的沪深</w:t>
                  </w:r>
                  <w:r>
                    <w:rPr>
                      <w:rFonts w:ascii="Times New Roman" w:eastAsia="楷体" w:hAnsi="Times New Roman" w:cs="Times New Roman"/>
                      <w:sz w:val="18"/>
                      <w:szCs w:val="18"/>
                    </w:rPr>
                    <w:t>300</w:t>
                  </w:r>
                  <w:r>
                    <w:rPr>
                      <w:rFonts w:ascii="Times New Roman" w:eastAsia="楷体" w:hAnsi="Times New Roman" w:cs="Times New Roman"/>
                      <w:sz w:val="18"/>
                      <w:szCs w:val="18"/>
                    </w:rPr>
                    <w:t>指数的涨跌幅为基准</w:t>
                  </w:r>
                </w:p>
              </w:tc>
            </w:tr>
          </w:tbl>
          <w:p w14:paraId="7EBCF0E1" w14:textId="77777777" w:rsidR="00037E01" w:rsidRDefault="00037E01">
            <w:pPr>
              <w:spacing w:afterLines="50" w:after="120"/>
              <w:rPr>
                <w:rFonts w:ascii="Times New Roman" w:eastAsia="楷体" w:hAnsi="Times New Roman" w:cs="Times New Roman"/>
                <w:color w:val="333333"/>
                <w:sz w:val="23"/>
                <w:szCs w:val="23"/>
                <w:shd w:val="clear" w:color="auto" w:fill="FFFFFF"/>
              </w:rPr>
            </w:pPr>
          </w:p>
        </w:tc>
        <w:tc>
          <w:tcPr>
            <w:tcW w:w="567" w:type="dxa"/>
          </w:tcPr>
          <w:p w14:paraId="3171EC70" w14:textId="77777777" w:rsidR="00037E01" w:rsidRDefault="00037E01">
            <w:pPr>
              <w:spacing w:afterLines="50" w:after="120"/>
              <w:rPr>
                <w:rFonts w:ascii="Times New Roman" w:eastAsia="楷体" w:hAnsi="Times New Roman" w:cs="Times New Roman"/>
                <w:color w:val="333333"/>
                <w:sz w:val="23"/>
                <w:szCs w:val="23"/>
                <w:shd w:val="clear" w:color="auto" w:fill="FFFFFF"/>
              </w:rPr>
            </w:pPr>
          </w:p>
        </w:tc>
        <w:tc>
          <w:tcPr>
            <w:tcW w:w="5216" w:type="dxa"/>
          </w:tcPr>
          <w:tbl>
            <w:tblPr>
              <w:tblStyle w:val="ac"/>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
              <w:gridCol w:w="3629"/>
            </w:tblGrid>
            <w:tr w:rsidR="00037E01" w14:paraId="72492B88" w14:textId="77777777">
              <w:trPr>
                <w:trHeight w:val="431"/>
              </w:trPr>
              <w:tc>
                <w:tcPr>
                  <w:tcW w:w="1418" w:type="dxa"/>
                  <w:tcBorders>
                    <w:top w:val="single" w:sz="8" w:space="0" w:color="DA0000"/>
                    <w:bottom w:val="single" w:sz="8" w:space="0" w:color="DA0000"/>
                  </w:tcBorders>
                  <w:vAlign w:val="center"/>
                </w:tcPr>
                <w:p w14:paraId="7A885289" w14:textId="77777777" w:rsidR="00037E01" w:rsidRDefault="00037E01">
                  <w:pPr>
                    <w:spacing w:afterLines="50" w:after="120"/>
                    <w:rPr>
                      <w:rFonts w:ascii="Times New Roman" w:eastAsia="黑体" w:hAnsi="Times New Roman" w:cs="Times New Roman"/>
                      <w:color w:val="333333"/>
                      <w:sz w:val="23"/>
                      <w:szCs w:val="23"/>
                      <w:shd w:val="clear" w:color="auto" w:fill="FFFFFF"/>
                    </w:rPr>
                  </w:pPr>
                </w:p>
              </w:tc>
              <w:tc>
                <w:tcPr>
                  <w:tcW w:w="624" w:type="dxa"/>
                  <w:tcBorders>
                    <w:top w:val="single" w:sz="8" w:space="0" w:color="DA0000"/>
                    <w:bottom w:val="single" w:sz="8" w:space="0" w:color="DA0000"/>
                  </w:tcBorders>
                  <w:vAlign w:val="bottom"/>
                </w:tcPr>
                <w:p w14:paraId="5AD34768" w14:textId="77777777" w:rsidR="00037E01" w:rsidRDefault="00204A8E">
                  <w:pPr>
                    <w:spacing w:afterLines="50" w:after="120"/>
                    <w:rPr>
                      <w:rFonts w:ascii="Times New Roman" w:eastAsia="黑体" w:hAnsi="Times New Roman" w:cs="Times New Roman"/>
                      <w:color w:val="333333"/>
                      <w:sz w:val="18"/>
                      <w:szCs w:val="18"/>
                      <w:shd w:val="clear" w:color="auto" w:fill="FFFFFF"/>
                    </w:rPr>
                  </w:pPr>
                  <w:r>
                    <w:rPr>
                      <w:rFonts w:ascii="Times New Roman" w:eastAsia="黑体" w:hAnsi="Times New Roman" w:cs="Times New Roman"/>
                      <w:sz w:val="18"/>
                      <w:szCs w:val="18"/>
                    </w:rPr>
                    <w:t>评级</w:t>
                  </w:r>
                </w:p>
              </w:tc>
              <w:tc>
                <w:tcPr>
                  <w:tcW w:w="3629" w:type="dxa"/>
                  <w:tcBorders>
                    <w:top w:val="single" w:sz="8" w:space="0" w:color="DA0000"/>
                    <w:bottom w:val="single" w:sz="8" w:space="0" w:color="DA0000"/>
                  </w:tcBorders>
                  <w:vAlign w:val="bottom"/>
                </w:tcPr>
                <w:p w14:paraId="76674183" w14:textId="77777777" w:rsidR="00037E01" w:rsidRDefault="00204A8E">
                  <w:pPr>
                    <w:spacing w:afterLines="50" w:after="120"/>
                    <w:rPr>
                      <w:rFonts w:ascii="Times New Roman" w:eastAsia="黑体" w:hAnsi="Times New Roman" w:cs="Times New Roman"/>
                      <w:color w:val="333333"/>
                      <w:sz w:val="18"/>
                      <w:szCs w:val="18"/>
                      <w:shd w:val="clear" w:color="auto" w:fill="FFFFFF"/>
                    </w:rPr>
                  </w:pPr>
                  <w:r>
                    <w:rPr>
                      <w:rFonts w:ascii="Times New Roman" w:eastAsia="黑体" w:hAnsi="Times New Roman" w:cs="Times New Roman"/>
                      <w:sz w:val="18"/>
                      <w:szCs w:val="18"/>
                    </w:rPr>
                    <w:t>说明</w:t>
                  </w:r>
                </w:p>
              </w:tc>
            </w:tr>
            <w:tr w:rsidR="00037E01" w14:paraId="7AADF3C3" w14:textId="77777777">
              <w:trPr>
                <w:trHeight w:val="431"/>
              </w:trPr>
              <w:tc>
                <w:tcPr>
                  <w:tcW w:w="1418" w:type="dxa"/>
                  <w:tcBorders>
                    <w:top w:val="single" w:sz="8" w:space="0" w:color="DA0000"/>
                  </w:tcBorders>
                  <w:vAlign w:val="center"/>
                </w:tcPr>
                <w:p w14:paraId="7C1804CD" w14:textId="77777777" w:rsidR="00037E01" w:rsidRDefault="00204A8E">
                  <w:pPr>
                    <w:spacing w:afterLines="50" w:after="120"/>
                    <w:rPr>
                      <w:rFonts w:ascii="Times New Roman" w:eastAsia="黑体" w:hAnsi="Times New Roman" w:cs="Times New Roman"/>
                      <w:color w:val="333333"/>
                      <w:sz w:val="23"/>
                      <w:szCs w:val="23"/>
                      <w:shd w:val="clear" w:color="auto" w:fill="FFFFFF"/>
                    </w:rPr>
                  </w:pPr>
                  <w:r>
                    <w:rPr>
                      <w:rFonts w:ascii="Times New Roman" w:eastAsia="黑体" w:hAnsi="Times New Roman" w:cs="Times New Roman"/>
                      <w:sz w:val="16"/>
                      <w:szCs w:val="16"/>
                    </w:rPr>
                    <w:t>股票投资评级</w:t>
                  </w:r>
                </w:p>
              </w:tc>
              <w:tc>
                <w:tcPr>
                  <w:tcW w:w="624" w:type="dxa"/>
                  <w:tcBorders>
                    <w:top w:val="single" w:sz="8" w:space="0" w:color="DA0000"/>
                  </w:tcBorders>
                  <w:vAlign w:val="center"/>
                </w:tcPr>
                <w:p w14:paraId="407D2B2D"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买入</w:t>
                  </w:r>
                </w:p>
              </w:tc>
              <w:tc>
                <w:tcPr>
                  <w:tcW w:w="3629" w:type="dxa"/>
                  <w:tcBorders>
                    <w:top w:val="single" w:sz="8" w:space="0" w:color="DA0000"/>
                  </w:tcBorders>
                  <w:vAlign w:val="center"/>
                </w:tcPr>
                <w:p w14:paraId="1CEE3D2F"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相对沪深</w:t>
                  </w:r>
                  <w:r>
                    <w:rPr>
                      <w:rFonts w:ascii="Times New Roman" w:eastAsia="楷体" w:hAnsi="Times New Roman" w:cs="Times New Roman"/>
                      <w:sz w:val="18"/>
                      <w:szCs w:val="18"/>
                    </w:rPr>
                    <w:t>300</w:t>
                  </w:r>
                  <w:r>
                    <w:rPr>
                      <w:rFonts w:ascii="Times New Roman" w:eastAsia="楷体" w:hAnsi="Times New Roman" w:cs="Times New Roman"/>
                      <w:sz w:val="18"/>
                      <w:szCs w:val="18"/>
                    </w:rPr>
                    <w:t>指数涨幅</w:t>
                  </w:r>
                  <w:r>
                    <w:rPr>
                      <w:rFonts w:ascii="Times New Roman" w:eastAsia="楷体" w:hAnsi="Times New Roman" w:cs="Times New Roman"/>
                      <w:sz w:val="18"/>
                      <w:szCs w:val="18"/>
                    </w:rPr>
                    <w:t>15</w:t>
                  </w:r>
                  <w:r>
                    <w:rPr>
                      <w:rFonts w:ascii="Times New Roman" w:eastAsia="楷体" w:hAnsi="Times New Roman" w:cs="Times New Roman"/>
                      <w:sz w:val="18"/>
                      <w:szCs w:val="18"/>
                    </w:rPr>
                    <w:t>％以上</w:t>
                  </w:r>
                </w:p>
              </w:tc>
            </w:tr>
            <w:tr w:rsidR="00037E01" w14:paraId="574A7EB8" w14:textId="77777777">
              <w:trPr>
                <w:trHeight w:val="431"/>
              </w:trPr>
              <w:tc>
                <w:tcPr>
                  <w:tcW w:w="1418" w:type="dxa"/>
                  <w:vAlign w:val="center"/>
                </w:tcPr>
                <w:p w14:paraId="7E6D68D0" w14:textId="77777777" w:rsidR="00037E01" w:rsidRDefault="00037E01">
                  <w:pPr>
                    <w:spacing w:afterLines="50" w:after="120"/>
                    <w:rPr>
                      <w:rFonts w:ascii="Times New Roman" w:eastAsia="仿宋" w:hAnsi="Times New Roman" w:cs="Times New Roman"/>
                      <w:color w:val="333333"/>
                      <w:sz w:val="23"/>
                      <w:szCs w:val="23"/>
                      <w:shd w:val="clear" w:color="auto" w:fill="FFFFFF"/>
                    </w:rPr>
                  </w:pPr>
                </w:p>
              </w:tc>
              <w:tc>
                <w:tcPr>
                  <w:tcW w:w="624" w:type="dxa"/>
                  <w:vAlign w:val="center"/>
                </w:tcPr>
                <w:p w14:paraId="465ADFD5"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增持</w:t>
                  </w:r>
                </w:p>
              </w:tc>
              <w:tc>
                <w:tcPr>
                  <w:tcW w:w="3629" w:type="dxa"/>
                  <w:vAlign w:val="center"/>
                </w:tcPr>
                <w:p w14:paraId="2749DA5A"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相对沪深</w:t>
                  </w:r>
                  <w:r>
                    <w:rPr>
                      <w:rFonts w:ascii="Times New Roman" w:eastAsia="楷体" w:hAnsi="Times New Roman" w:cs="Times New Roman"/>
                      <w:sz w:val="18"/>
                      <w:szCs w:val="18"/>
                    </w:rPr>
                    <w:t>300</w:t>
                  </w:r>
                  <w:r>
                    <w:rPr>
                      <w:rFonts w:ascii="Times New Roman" w:eastAsia="楷体" w:hAnsi="Times New Roman" w:cs="Times New Roman"/>
                      <w:sz w:val="18"/>
                      <w:szCs w:val="18"/>
                    </w:rPr>
                    <w:t>指数涨幅</w:t>
                  </w:r>
                  <w:r>
                    <w:rPr>
                      <w:rFonts w:ascii="Times New Roman" w:eastAsia="楷体" w:hAnsi="Times New Roman" w:cs="Times New Roman"/>
                      <w:sz w:val="18"/>
                      <w:szCs w:val="18"/>
                    </w:rPr>
                    <w:t>5</w:t>
                  </w:r>
                  <w:r>
                    <w:rPr>
                      <w:rFonts w:ascii="Times New Roman" w:eastAsia="楷体" w:hAnsi="Times New Roman" w:cs="Times New Roman"/>
                      <w:sz w:val="18"/>
                      <w:szCs w:val="18"/>
                    </w:rPr>
                    <w:t>％</w:t>
                  </w:r>
                  <w:r>
                    <w:rPr>
                      <w:rFonts w:ascii="Times New Roman" w:eastAsia="楷体" w:hAnsi="Times New Roman" w:cs="Times New Roman"/>
                      <w:sz w:val="18"/>
                      <w:szCs w:val="18"/>
                    </w:rPr>
                    <w:t>-15%</w:t>
                  </w:r>
                  <w:r>
                    <w:rPr>
                      <w:rFonts w:ascii="Times New Roman" w:eastAsia="楷体" w:hAnsi="Times New Roman" w:cs="Times New Roman"/>
                      <w:sz w:val="18"/>
                      <w:szCs w:val="18"/>
                    </w:rPr>
                    <w:t>之间</w:t>
                  </w:r>
                </w:p>
              </w:tc>
            </w:tr>
            <w:tr w:rsidR="00037E01" w14:paraId="2A6EB035" w14:textId="77777777">
              <w:trPr>
                <w:trHeight w:val="431"/>
              </w:trPr>
              <w:tc>
                <w:tcPr>
                  <w:tcW w:w="1418" w:type="dxa"/>
                  <w:vAlign w:val="center"/>
                </w:tcPr>
                <w:p w14:paraId="5FEC3262" w14:textId="77777777" w:rsidR="00037E01" w:rsidRDefault="00037E01">
                  <w:pPr>
                    <w:spacing w:afterLines="50" w:after="120"/>
                    <w:rPr>
                      <w:rFonts w:ascii="Times New Roman" w:eastAsia="仿宋" w:hAnsi="Times New Roman" w:cs="Times New Roman"/>
                      <w:color w:val="333333"/>
                      <w:sz w:val="23"/>
                      <w:szCs w:val="23"/>
                      <w:shd w:val="clear" w:color="auto" w:fill="FFFFFF"/>
                    </w:rPr>
                  </w:pPr>
                </w:p>
              </w:tc>
              <w:tc>
                <w:tcPr>
                  <w:tcW w:w="624" w:type="dxa"/>
                  <w:vAlign w:val="center"/>
                </w:tcPr>
                <w:p w14:paraId="0355B5C4"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中性</w:t>
                  </w:r>
                </w:p>
              </w:tc>
              <w:tc>
                <w:tcPr>
                  <w:tcW w:w="3629" w:type="dxa"/>
                  <w:vAlign w:val="center"/>
                </w:tcPr>
                <w:p w14:paraId="0A2AE3B8"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相对沪深</w:t>
                  </w:r>
                  <w:r>
                    <w:rPr>
                      <w:rFonts w:ascii="Times New Roman" w:eastAsia="楷体" w:hAnsi="Times New Roman" w:cs="Times New Roman"/>
                      <w:sz w:val="18"/>
                      <w:szCs w:val="18"/>
                    </w:rPr>
                    <w:t>300</w:t>
                  </w:r>
                  <w:r>
                    <w:rPr>
                      <w:rFonts w:ascii="Times New Roman" w:eastAsia="楷体" w:hAnsi="Times New Roman" w:cs="Times New Roman"/>
                      <w:sz w:val="18"/>
                      <w:szCs w:val="18"/>
                    </w:rPr>
                    <w:t>指数涨幅－</w:t>
                  </w:r>
                  <w:r>
                    <w:rPr>
                      <w:rFonts w:ascii="Times New Roman" w:eastAsia="楷体" w:hAnsi="Times New Roman" w:cs="Times New Roman"/>
                      <w:sz w:val="18"/>
                      <w:szCs w:val="18"/>
                    </w:rPr>
                    <w:t>5</w:t>
                  </w:r>
                  <w:r>
                    <w:rPr>
                      <w:rFonts w:ascii="Times New Roman" w:eastAsia="楷体" w:hAnsi="Times New Roman" w:cs="Times New Roman"/>
                      <w:sz w:val="18"/>
                      <w:szCs w:val="18"/>
                    </w:rPr>
                    <w:t>％</w:t>
                  </w:r>
                  <w:r>
                    <w:rPr>
                      <w:rFonts w:ascii="Times New Roman" w:eastAsia="楷体" w:hAnsi="Times New Roman" w:cs="Times New Roman"/>
                      <w:sz w:val="18"/>
                      <w:szCs w:val="18"/>
                    </w:rPr>
                    <w:t>-5</w:t>
                  </w:r>
                  <w:r>
                    <w:rPr>
                      <w:rFonts w:ascii="Times New Roman" w:eastAsia="楷体" w:hAnsi="Times New Roman" w:cs="Times New Roman"/>
                      <w:sz w:val="18"/>
                      <w:szCs w:val="18"/>
                    </w:rPr>
                    <w:t>％之间</w:t>
                  </w:r>
                </w:p>
              </w:tc>
            </w:tr>
            <w:tr w:rsidR="00037E01" w14:paraId="4E3B62CF" w14:textId="77777777">
              <w:trPr>
                <w:trHeight w:val="431"/>
              </w:trPr>
              <w:tc>
                <w:tcPr>
                  <w:tcW w:w="1418" w:type="dxa"/>
                  <w:vAlign w:val="center"/>
                </w:tcPr>
                <w:p w14:paraId="736ABB17" w14:textId="77777777" w:rsidR="00037E01" w:rsidRDefault="00037E01">
                  <w:pPr>
                    <w:spacing w:afterLines="50" w:after="120"/>
                    <w:rPr>
                      <w:rFonts w:ascii="Times New Roman" w:eastAsia="仿宋" w:hAnsi="Times New Roman" w:cs="Times New Roman"/>
                      <w:color w:val="333333"/>
                      <w:sz w:val="23"/>
                      <w:szCs w:val="23"/>
                      <w:shd w:val="clear" w:color="auto" w:fill="FFFFFF"/>
                    </w:rPr>
                  </w:pPr>
                </w:p>
              </w:tc>
              <w:tc>
                <w:tcPr>
                  <w:tcW w:w="624" w:type="dxa"/>
                  <w:vAlign w:val="center"/>
                </w:tcPr>
                <w:p w14:paraId="60985964"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减持</w:t>
                  </w:r>
                </w:p>
              </w:tc>
              <w:tc>
                <w:tcPr>
                  <w:tcW w:w="3629" w:type="dxa"/>
                  <w:vAlign w:val="center"/>
                </w:tcPr>
                <w:p w14:paraId="4FAA2ADE"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相对沪深</w:t>
                  </w:r>
                  <w:r>
                    <w:rPr>
                      <w:rFonts w:ascii="Times New Roman" w:eastAsia="楷体" w:hAnsi="Times New Roman" w:cs="Times New Roman"/>
                      <w:sz w:val="18"/>
                      <w:szCs w:val="18"/>
                    </w:rPr>
                    <w:t>300</w:t>
                  </w:r>
                  <w:r>
                    <w:rPr>
                      <w:rFonts w:ascii="Times New Roman" w:eastAsia="楷体" w:hAnsi="Times New Roman" w:cs="Times New Roman"/>
                      <w:sz w:val="18"/>
                      <w:szCs w:val="18"/>
                    </w:rPr>
                    <w:t>指数跌幅</w:t>
                  </w:r>
                  <w:r>
                    <w:rPr>
                      <w:rFonts w:ascii="Times New Roman" w:eastAsia="楷体" w:hAnsi="Times New Roman" w:cs="Times New Roman"/>
                      <w:sz w:val="18"/>
                      <w:szCs w:val="18"/>
                    </w:rPr>
                    <w:t>5</w:t>
                  </w:r>
                  <w:r>
                    <w:rPr>
                      <w:rFonts w:ascii="Times New Roman" w:eastAsia="楷体" w:hAnsi="Times New Roman" w:cs="Times New Roman"/>
                      <w:sz w:val="18"/>
                      <w:szCs w:val="18"/>
                    </w:rPr>
                    <w:t>％以上</w:t>
                  </w:r>
                </w:p>
              </w:tc>
            </w:tr>
            <w:tr w:rsidR="00037E01" w14:paraId="363A7430" w14:textId="77777777">
              <w:trPr>
                <w:trHeight w:val="431"/>
              </w:trPr>
              <w:tc>
                <w:tcPr>
                  <w:tcW w:w="1418" w:type="dxa"/>
                  <w:vAlign w:val="center"/>
                </w:tcPr>
                <w:p w14:paraId="574A8912" w14:textId="77777777" w:rsidR="00037E01" w:rsidRDefault="00204A8E">
                  <w:pPr>
                    <w:spacing w:afterLines="50" w:after="120"/>
                    <w:rPr>
                      <w:rFonts w:ascii="Times New Roman" w:eastAsia="黑体" w:hAnsi="Times New Roman" w:cs="Times New Roman"/>
                      <w:color w:val="333333"/>
                      <w:sz w:val="23"/>
                      <w:szCs w:val="23"/>
                      <w:shd w:val="clear" w:color="auto" w:fill="FFFFFF"/>
                    </w:rPr>
                  </w:pPr>
                  <w:r>
                    <w:rPr>
                      <w:rFonts w:ascii="Times New Roman" w:eastAsia="黑体" w:hAnsi="Times New Roman" w:cs="Times New Roman"/>
                      <w:sz w:val="16"/>
                      <w:szCs w:val="16"/>
                    </w:rPr>
                    <w:t>行业投资评级</w:t>
                  </w:r>
                </w:p>
              </w:tc>
              <w:tc>
                <w:tcPr>
                  <w:tcW w:w="624" w:type="dxa"/>
                  <w:vAlign w:val="center"/>
                </w:tcPr>
                <w:p w14:paraId="61796AA1"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看好</w:t>
                  </w:r>
                </w:p>
              </w:tc>
              <w:tc>
                <w:tcPr>
                  <w:tcW w:w="3629" w:type="dxa"/>
                  <w:vAlign w:val="center"/>
                </w:tcPr>
                <w:p w14:paraId="09FC7C55"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行业超越整体市场表现</w:t>
                  </w:r>
                </w:p>
              </w:tc>
            </w:tr>
            <w:tr w:rsidR="00037E01" w14:paraId="5C80BEC5" w14:textId="77777777">
              <w:trPr>
                <w:trHeight w:val="431"/>
              </w:trPr>
              <w:tc>
                <w:tcPr>
                  <w:tcW w:w="1418" w:type="dxa"/>
                  <w:vAlign w:val="center"/>
                </w:tcPr>
                <w:p w14:paraId="7B882ED3" w14:textId="77777777" w:rsidR="00037E01" w:rsidRDefault="00037E01">
                  <w:pPr>
                    <w:spacing w:afterLines="50" w:after="120"/>
                    <w:rPr>
                      <w:rFonts w:ascii="Times New Roman" w:eastAsia="仿宋" w:hAnsi="Times New Roman" w:cs="Times New Roman"/>
                      <w:color w:val="333333"/>
                      <w:sz w:val="23"/>
                      <w:szCs w:val="23"/>
                      <w:shd w:val="clear" w:color="auto" w:fill="FFFFFF"/>
                    </w:rPr>
                  </w:pPr>
                </w:p>
              </w:tc>
              <w:tc>
                <w:tcPr>
                  <w:tcW w:w="624" w:type="dxa"/>
                  <w:vAlign w:val="center"/>
                </w:tcPr>
                <w:p w14:paraId="3279493E"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中性</w:t>
                  </w:r>
                </w:p>
              </w:tc>
              <w:tc>
                <w:tcPr>
                  <w:tcW w:w="3629" w:type="dxa"/>
                  <w:vAlign w:val="center"/>
                </w:tcPr>
                <w:p w14:paraId="71FB9B46"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行业与整体市场表现基本持平</w:t>
                  </w:r>
                </w:p>
              </w:tc>
            </w:tr>
            <w:tr w:rsidR="00037E01" w14:paraId="496D8A19" w14:textId="77777777">
              <w:trPr>
                <w:trHeight w:val="495"/>
              </w:trPr>
              <w:tc>
                <w:tcPr>
                  <w:tcW w:w="1418" w:type="dxa"/>
                  <w:tcBorders>
                    <w:bottom w:val="single" w:sz="8" w:space="0" w:color="DA0000"/>
                  </w:tcBorders>
                  <w:vAlign w:val="center"/>
                </w:tcPr>
                <w:p w14:paraId="52236C99" w14:textId="77777777" w:rsidR="00037E01" w:rsidRDefault="00037E01">
                  <w:pPr>
                    <w:spacing w:afterLines="50" w:after="120"/>
                    <w:rPr>
                      <w:rFonts w:ascii="Times New Roman" w:eastAsia="仿宋" w:hAnsi="Times New Roman" w:cs="Times New Roman"/>
                      <w:color w:val="333333"/>
                      <w:sz w:val="23"/>
                      <w:szCs w:val="23"/>
                      <w:shd w:val="clear" w:color="auto" w:fill="FFFFFF"/>
                    </w:rPr>
                  </w:pPr>
                </w:p>
              </w:tc>
              <w:tc>
                <w:tcPr>
                  <w:tcW w:w="624" w:type="dxa"/>
                  <w:tcBorders>
                    <w:bottom w:val="single" w:sz="8" w:space="0" w:color="DA0000"/>
                  </w:tcBorders>
                  <w:vAlign w:val="center"/>
                </w:tcPr>
                <w:p w14:paraId="340A0C0A"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看淡</w:t>
                  </w:r>
                </w:p>
              </w:tc>
              <w:tc>
                <w:tcPr>
                  <w:tcW w:w="3629" w:type="dxa"/>
                  <w:tcBorders>
                    <w:bottom w:val="single" w:sz="8" w:space="0" w:color="DA0000"/>
                  </w:tcBorders>
                  <w:vAlign w:val="center"/>
                </w:tcPr>
                <w:p w14:paraId="007CA90A" w14:textId="77777777" w:rsidR="00037E01" w:rsidRDefault="00204A8E">
                  <w:pPr>
                    <w:spacing w:afterLines="50" w:after="120"/>
                    <w:rPr>
                      <w:rFonts w:ascii="Times New Roman" w:eastAsia="楷体" w:hAnsi="Times New Roman" w:cs="Times New Roman"/>
                      <w:color w:val="333333"/>
                      <w:sz w:val="18"/>
                      <w:szCs w:val="18"/>
                      <w:shd w:val="clear" w:color="auto" w:fill="FFFFFF"/>
                    </w:rPr>
                  </w:pPr>
                  <w:r>
                    <w:rPr>
                      <w:rFonts w:ascii="Times New Roman" w:eastAsia="楷体" w:hAnsi="Times New Roman" w:cs="Times New Roman"/>
                      <w:sz w:val="18"/>
                      <w:szCs w:val="18"/>
                    </w:rPr>
                    <w:t>行业弱于整体市场表现</w:t>
                  </w:r>
                </w:p>
              </w:tc>
            </w:tr>
          </w:tbl>
          <w:p w14:paraId="0A57B408" w14:textId="77777777" w:rsidR="00037E01" w:rsidRDefault="00037E01">
            <w:pPr>
              <w:spacing w:afterLines="50" w:after="120"/>
              <w:rPr>
                <w:rFonts w:ascii="Times New Roman" w:eastAsia="楷体" w:hAnsi="Times New Roman" w:cs="Times New Roman"/>
                <w:color w:val="333333"/>
                <w:sz w:val="23"/>
                <w:szCs w:val="23"/>
                <w:shd w:val="clear" w:color="auto" w:fill="FFFFFF"/>
              </w:rPr>
            </w:pPr>
          </w:p>
        </w:tc>
      </w:tr>
    </w:tbl>
    <w:p w14:paraId="2C344A72" w14:textId="77777777" w:rsidR="00037E01" w:rsidRDefault="00037E01">
      <w:pPr>
        <w:spacing w:afterLines="50" w:after="120"/>
        <w:rPr>
          <w:rFonts w:ascii="楷体" w:eastAsia="楷体" w:hAnsi="楷体" w:cs="Arial"/>
          <w:color w:val="333333"/>
          <w:sz w:val="23"/>
          <w:szCs w:val="23"/>
          <w:shd w:val="clear" w:color="auto" w:fill="FFFFFF"/>
        </w:rPr>
      </w:pPr>
    </w:p>
    <w:p w14:paraId="6D18B8D3" w14:textId="77777777" w:rsidR="00037E01" w:rsidRDefault="00037E01">
      <w:pPr>
        <w:rPr>
          <w:rFonts w:ascii="楷体" w:eastAsia="楷体" w:hAnsi="楷体" w:cs="Arial"/>
          <w:sz w:val="23"/>
          <w:szCs w:val="23"/>
        </w:rPr>
      </w:pPr>
    </w:p>
    <w:sectPr w:rsidR="00037E01">
      <w:footerReference w:type="default" r:id="rId14"/>
      <w:pgSz w:w="11906" w:h="16838"/>
      <w:pgMar w:top="1134" w:right="851" w:bottom="1134" w:left="851" w:header="851" w:footer="992" w:gutter="0"/>
      <w:pgNumType w:start="2"/>
      <w:cols w:sep="1" w:space="425"/>
      <w:docGrid w:linePitch="312" w:charSpace="38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748D" w14:textId="77777777" w:rsidR="00582C1E" w:rsidRDefault="00582C1E">
      <w:r>
        <w:separator/>
      </w:r>
    </w:p>
  </w:endnote>
  <w:endnote w:type="continuationSeparator" w:id="0">
    <w:p w14:paraId="6E556293" w14:textId="77777777" w:rsidR="00582C1E" w:rsidRDefault="0058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618" w14:textId="77777777" w:rsidR="00037E01" w:rsidRDefault="00204A8E">
    <w:pPr>
      <w:pStyle w:val="a6"/>
      <w:pBdr>
        <w:top w:val="single" w:sz="18" w:space="1" w:color="DA0000"/>
      </w:pBdr>
      <w:jc w:val="right"/>
      <w:rPr>
        <w:rFonts w:ascii="楷体" w:eastAsia="楷体" w:hAnsi="楷体"/>
        <w:b/>
        <w:bCs/>
      </w:rPr>
    </w:pPr>
    <w:r>
      <w:rPr>
        <w:rFonts w:ascii="楷体" w:eastAsia="楷体" w:hAnsi="楷体" w:hint="eastAsia"/>
        <w:b/>
        <w:bCs/>
      </w:rPr>
      <w:t xml:space="preserve">请务必仔细阅读本报告最后部分的重要法律声明 </w:t>
    </w:r>
    <w:r>
      <w:rPr>
        <w:rFonts w:ascii="楷体" w:eastAsia="楷体" w:hAnsi="楷体"/>
        <w:b/>
        <w:bCs/>
      </w:rPr>
      <w:t xml:space="preserve">                                </w:t>
    </w:r>
    <w:r>
      <w:rPr>
        <w:rFonts w:ascii="楷体" w:eastAsia="楷体" w:hAnsi="楷体"/>
        <w:b/>
        <w:bCs/>
      </w:rPr>
      <w:fldChar w:fldCharType="begin"/>
    </w:r>
    <w:r>
      <w:rPr>
        <w:rFonts w:ascii="楷体" w:eastAsia="楷体" w:hAnsi="楷体"/>
        <w:b/>
        <w:bCs/>
      </w:rPr>
      <w:instrText>PAGE   \* MERGEFORMAT</w:instrText>
    </w:r>
    <w:r>
      <w:rPr>
        <w:rFonts w:ascii="楷体" w:eastAsia="楷体" w:hAnsi="楷体"/>
        <w:b/>
        <w:bCs/>
      </w:rPr>
      <w:fldChar w:fldCharType="separate"/>
    </w:r>
    <w:r>
      <w:rPr>
        <w:rFonts w:ascii="楷体" w:eastAsia="楷体" w:hAnsi="楷体"/>
        <w:b/>
        <w:bCs/>
        <w:lang w:val="zh-CN"/>
      </w:rPr>
      <w:t>6</w:t>
    </w:r>
    <w:r>
      <w:rPr>
        <w:rFonts w:ascii="楷体" w:eastAsia="楷体" w:hAnsi="楷体"/>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AF17" w14:textId="77777777" w:rsidR="00037E01" w:rsidRDefault="00204A8E">
    <w:pPr>
      <w:pStyle w:val="a6"/>
      <w:pBdr>
        <w:top w:val="single" w:sz="18" w:space="1" w:color="DA0000"/>
      </w:pBdr>
      <w:jc w:val="center"/>
      <w:rPr>
        <w:rFonts w:ascii="楷体" w:eastAsia="楷体" w:hAnsi="楷体"/>
        <w:b/>
        <w:bCs/>
      </w:rPr>
    </w:pPr>
    <w:r>
      <w:rPr>
        <w:rFonts w:ascii="楷体" w:eastAsia="楷体" w:hAnsi="楷体" w:hint="eastAsia"/>
        <w:b/>
        <w:bCs/>
      </w:rPr>
      <w:t>请务必仔细阅读本报告最后部分的重要法律声明</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14D7" w14:textId="77777777" w:rsidR="00037E01" w:rsidRDefault="00037E01">
    <w:pPr>
      <w:pStyle w:val="a6"/>
      <w:pBdr>
        <w:top w:val="single" w:sz="18" w:space="1" w:color="DA0000"/>
      </w:pBdr>
      <w:jc w:val="center"/>
      <w:rPr>
        <w:rFonts w:ascii="楷体" w:eastAsia="楷体" w:hAnsi="楷体"/>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E967" w14:textId="77777777" w:rsidR="00582C1E" w:rsidRDefault="00582C1E">
      <w:r>
        <w:separator/>
      </w:r>
    </w:p>
  </w:footnote>
  <w:footnote w:type="continuationSeparator" w:id="0">
    <w:p w14:paraId="0447562F" w14:textId="77777777" w:rsidR="00582C1E" w:rsidRDefault="0058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BFC7" w14:textId="77777777" w:rsidR="00037E01" w:rsidRDefault="00204A8E">
    <w:pPr>
      <w:pStyle w:val="a8"/>
      <w:pBdr>
        <w:bottom w:val="none" w:sz="0" w:space="0" w:color="auto"/>
      </w:pBdr>
      <w:jc w:val="left"/>
      <w:rPr>
        <w:rFonts w:ascii="黑体" w:eastAsia="黑体" w:hAnsi="黑体"/>
        <w:sz w:val="21"/>
        <w:szCs w:val="21"/>
      </w:rPr>
    </w:pPr>
    <w:r>
      <w:rPr>
        <w:rFonts w:hint="eastAsia"/>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938"/>
    </w:tblGrid>
    <w:tr w:rsidR="00037E01" w14:paraId="0968E110" w14:textId="77777777">
      <w:trPr>
        <w:trHeight w:val="397"/>
      </w:trPr>
      <w:tc>
        <w:tcPr>
          <w:tcW w:w="2268" w:type="dxa"/>
          <w:vMerge w:val="restart"/>
        </w:tcPr>
        <w:p w14:paraId="5642FE59" w14:textId="77777777" w:rsidR="00037E01" w:rsidRDefault="00204A8E">
          <w:pPr>
            <w:pStyle w:val="a8"/>
            <w:pBdr>
              <w:bottom w:val="none" w:sz="0" w:space="0" w:color="auto"/>
            </w:pBdr>
            <w:jc w:val="left"/>
          </w:pPr>
          <w:r>
            <w:rPr>
              <w:rFonts w:hint="eastAsia"/>
              <w:noProof/>
            </w:rPr>
            <w:drawing>
              <wp:inline distT="0" distB="0" distL="0" distR="0" wp14:anchorId="2472C5D7" wp14:editId="621C98C1">
                <wp:extent cx="1303020" cy="311150"/>
                <wp:effectExtent l="0" t="0" r="11430" b="12700"/>
                <wp:docPr id="1" name="图片 1" descr="C:\Users\zhaomengxue\Desktop\首创证券简称\资源 1.png资源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omengxue\Desktop\首创证券简称\资源 1.png资源 1"/>
                        <pic:cNvPicPr>
                          <a:picLocks noChangeAspect="1"/>
                        </pic:cNvPicPr>
                      </pic:nvPicPr>
                      <pic:blipFill>
                        <a:blip r:embed="rId1"/>
                        <a:srcRect/>
                        <a:stretch>
                          <a:fillRect/>
                        </a:stretch>
                      </pic:blipFill>
                      <pic:spPr>
                        <a:xfrm>
                          <a:off x="0" y="0"/>
                          <a:ext cx="1303020" cy="311150"/>
                        </a:xfrm>
                        <a:prstGeom prst="rect">
                          <a:avLst/>
                        </a:prstGeom>
                      </pic:spPr>
                    </pic:pic>
                  </a:graphicData>
                </a:graphic>
              </wp:inline>
            </w:drawing>
          </w:r>
        </w:p>
      </w:tc>
      <w:tc>
        <w:tcPr>
          <w:tcW w:w="7938" w:type="dxa"/>
          <w:tcBorders>
            <w:bottom w:val="single" w:sz="18" w:space="0" w:color="DA0000"/>
          </w:tcBorders>
          <w:vAlign w:val="bottom"/>
        </w:tcPr>
        <w:p w14:paraId="632479FE" w14:textId="77777777" w:rsidR="00037E01" w:rsidRDefault="00204A8E">
          <w:pPr>
            <w:pStyle w:val="a8"/>
            <w:pBdr>
              <w:bottom w:val="none" w:sz="0" w:space="0" w:color="auto"/>
            </w:pBdr>
            <w:wordWrap w:val="0"/>
            <w:jc w:val="right"/>
            <w:rPr>
              <w:rFonts w:ascii="楷体" w:eastAsia="楷体" w:hAnsi="楷体"/>
              <w:b/>
              <w:bCs/>
              <w:sz w:val="21"/>
              <w:szCs w:val="21"/>
            </w:rPr>
          </w:pPr>
          <w:r>
            <w:rPr>
              <w:rFonts w:ascii="楷体" w:eastAsia="楷体" w:hAnsi="楷体" w:hint="eastAsia"/>
              <w:b/>
              <w:bCs/>
              <w:sz w:val="21"/>
              <w:szCs w:val="21"/>
            </w:rPr>
            <w:t xml:space="preserve">晨会纪要 </w:t>
          </w:r>
          <w:r>
            <w:rPr>
              <w:rFonts w:ascii="楷体" w:eastAsia="楷体" w:hAnsi="楷体" w:hint="eastAsia"/>
              <w:b/>
              <w:bCs/>
              <w:sz w:val="21"/>
              <w:szCs w:val="21"/>
            </w:rPr>
            <w:sym w:font="Wingdings" w:char="F09E"/>
          </w:r>
          <w:r>
            <w:rPr>
              <w:rFonts w:ascii="楷体" w:eastAsia="楷体" w:hAnsi="楷体"/>
              <w:b/>
              <w:bCs/>
              <w:sz w:val="21"/>
              <w:szCs w:val="21"/>
            </w:rPr>
            <w:t xml:space="preserve"> </w:t>
          </w:r>
          <w:r>
            <w:rPr>
              <w:rFonts w:ascii="楷体" w:eastAsia="楷体" w:hAnsi="楷体" w:hint="eastAsia"/>
              <w:b/>
              <w:bCs/>
              <w:sz w:val="21"/>
              <w:szCs w:val="21"/>
            </w:rPr>
            <w:t>证券研究报告</w:t>
          </w:r>
        </w:p>
      </w:tc>
    </w:tr>
    <w:tr w:rsidR="00037E01" w14:paraId="0A2F6471" w14:textId="77777777">
      <w:trPr>
        <w:trHeight w:val="113"/>
      </w:trPr>
      <w:tc>
        <w:tcPr>
          <w:tcW w:w="2268" w:type="dxa"/>
          <w:vMerge/>
        </w:tcPr>
        <w:p w14:paraId="178EE9D9" w14:textId="77777777" w:rsidR="00037E01" w:rsidRDefault="00037E01">
          <w:pPr>
            <w:pStyle w:val="a8"/>
            <w:pBdr>
              <w:bottom w:val="none" w:sz="0" w:space="0" w:color="auto"/>
            </w:pBdr>
            <w:jc w:val="left"/>
          </w:pPr>
        </w:p>
      </w:tc>
      <w:tc>
        <w:tcPr>
          <w:tcW w:w="7938" w:type="dxa"/>
          <w:tcBorders>
            <w:top w:val="single" w:sz="18" w:space="0" w:color="DA0000"/>
          </w:tcBorders>
        </w:tcPr>
        <w:p w14:paraId="60ADE4CD" w14:textId="77777777" w:rsidR="00037E01" w:rsidRDefault="00204A8E">
          <w:pPr>
            <w:pStyle w:val="a8"/>
            <w:pBdr>
              <w:bottom w:val="none" w:sz="0" w:space="0" w:color="auto"/>
            </w:pBdr>
            <w:tabs>
              <w:tab w:val="clear" w:pos="4153"/>
              <w:tab w:val="clear" w:pos="8306"/>
              <w:tab w:val="left" w:pos="795"/>
            </w:tabs>
            <w:jc w:val="left"/>
          </w:pPr>
          <w:r>
            <w:tab/>
          </w:r>
        </w:p>
      </w:tc>
    </w:tr>
  </w:tbl>
  <w:p w14:paraId="572CFFF7" w14:textId="77777777" w:rsidR="00037E01" w:rsidRDefault="00037E01">
    <w:pPr>
      <w:pStyle w:val="a8"/>
      <w:pBdr>
        <w:bottom w:val="none" w:sz="0" w:space="0" w:color="auto"/>
      </w:pBdr>
      <w:jc w:val="left"/>
      <w:rPr>
        <w:rFonts w:ascii="黑体" w:eastAsia="黑体" w:hAnsi="黑体"/>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C446" w14:textId="77777777" w:rsidR="00037E01" w:rsidRDefault="00037E01">
    <w:pPr>
      <w:pStyle w:val="a8"/>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90C42"/>
    <w:multiLevelType w:val="hybridMultilevel"/>
    <w:tmpl w:val="1B1EB684"/>
    <w:lvl w:ilvl="0" w:tplc="6F3E3ACC">
      <w:numFmt w:val="bullet"/>
      <w:lvlText w:val="·"/>
      <w:lvlJc w:val="left"/>
      <w:pPr>
        <w:ind w:left="2880" w:hanging="360"/>
      </w:pPr>
      <w:rPr>
        <w:rFonts w:ascii="Times New Roman" w:eastAsia="楷体" w:hAnsi="Times New Roman" w:cs="Times New Roman" w:hint="default"/>
      </w:rPr>
    </w:lvl>
    <w:lvl w:ilvl="1" w:tplc="04090003" w:tentative="1">
      <w:start w:val="1"/>
      <w:numFmt w:val="bullet"/>
      <w:lvlText w:val=""/>
      <w:lvlJc w:val="left"/>
      <w:pPr>
        <w:ind w:left="3360" w:hanging="420"/>
      </w:pPr>
      <w:rPr>
        <w:rFonts w:ascii="Wingdings" w:hAnsi="Wingdings" w:hint="default"/>
      </w:rPr>
    </w:lvl>
    <w:lvl w:ilvl="2" w:tplc="04090005"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3" w:tentative="1">
      <w:start w:val="1"/>
      <w:numFmt w:val="bullet"/>
      <w:lvlText w:val=""/>
      <w:lvlJc w:val="left"/>
      <w:pPr>
        <w:ind w:left="4620" w:hanging="420"/>
      </w:pPr>
      <w:rPr>
        <w:rFonts w:ascii="Wingdings" w:hAnsi="Wingdings" w:hint="default"/>
      </w:rPr>
    </w:lvl>
    <w:lvl w:ilvl="5" w:tplc="04090005"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3" w:tentative="1">
      <w:start w:val="1"/>
      <w:numFmt w:val="bullet"/>
      <w:lvlText w:val=""/>
      <w:lvlJc w:val="left"/>
      <w:pPr>
        <w:ind w:left="5880" w:hanging="420"/>
      </w:pPr>
      <w:rPr>
        <w:rFonts w:ascii="Wingdings" w:hAnsi="Wingdings" w:hint="default"/>
      </w:rPr>
    </w:lvl>
    <w:lvl w:ilvl="8" w:tplc="04090005" w:tentative="1">
      <w:start w:val="1"/>
      <w:numFmt w:val="bullet"/>
      <w:lvlText w:val=""/>
      <w:lvlJc w:val="left"/>
      <w:pPr>
        <w:ind w:left="6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397"/>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3C8"/>
    <w:rsid w:val="00003554"/>
    <w:rsid w:val="000053AE"/>
    <w:rsid w:val="00013EE6"/>
    <w:rsid w:val="00014AD2"/>
    <w:rsid w:val="000153A7"/>
    <w:rsid w:val="00017020"/>
    <w:rsid w:val="0001717C"/>
    <w:rsid w:val="00020246"/>
    <w:rsid w:val="00020A1C"/>
    <w:rsid w:val="0002140A"/>
    <w:rsid w:val="0002616F"/>
    <w:rsid w:val="00030B6C"/>
    <w:rsid w:val="00030EAF"/>
    <w:rsid w:val="00033D35"/>
    <w:rsid w:val="0003531F"/>
    <w:rsid w:val="00037E01"/>
    <w:rsid w:val="00037F55"/>
    <w:rsid w:val="0004025A"/>
    <w:rsid w:val="000433F8"/>
    <w:rsid w:val="00043BCC"/>
    <w:rsid w:val="00043F51"/>
    <w:rsid w:val="0004475A"/>
    <w:rsid w:val="00044D98"/>
    <w:rsid w:val="00046ED7"/>
    <w:rsid w:val="00050423"/>
    <w:rsid w:val="00054042"/>
    <w:rsid w:val="00054084"/>
    <w:rsid w:val="00054A13"/>
    <w:rsid w:val="00055780"/>
    <w:rsid w:val="000559E6"/>
    <w:rsid w:val="00057343"/>
    <w:rsid w:val="0006033D"/>
    <w:rsid w:val="00062896"/>
    <w:rsid w:val="000628F0"/>
    <w:rsid w:val="000636BF"/>
    <w:rsid w:val="000657C3"/>
    <w:rsid w:val="000666AF"/>
    <w:rsid w:val="00067292"/>
    <w:rsid w:val="00067736"/>
    <w:rsid w:val="00072B7B"/>
    <w:rsid w:val="00073635"/>
    <w:rsid w:val="00073D60"/>
    <w:rsid w:val="00074208"/>
    <w:rsid w:val="000748CD"/>
    <w:rsid w:val="00074AA0"/>
    <w:rsid w:val="00074C04"/>
    <w:rsid w:val="000755FE"/>
    <w:rsid w:val="00075658"/>
    <w:rsid w:val="0007588B"/>
    <w:rsid w:val="00076907"/>
    <w:rsid w:val="00077EC5"/>
    <w:rsid w:val="000810A5"/>
    <w:rsid w:val="000871DE"/>
    <w:rsid w:val="00087D9C"/>
    <w:rsid w:val="00093125"/>
    <w:rsid w:val="000A307C"/>
    <w:rsid w:val="000A42FE"/>
    <w:rsid w:val="000A49DA"/>
    <w:rsid w:val="000A5B16"/>
    <w:rsid w:val="000B003D"/>
    <w:rsid w:val="000B1F1E"/>
    <w:rsid w:val="000B223E"/>
    <w:rsid w:val="000B3777"/>
    <w:rsid w:val="000B3AC6"/>
    <w:rsid w:val="000B4EF0"/>
    <w:rsid w:val="000B60F1"/>
    <w:rsid w:val="000B7A68"/>
    <w:rsid w:val="000C1704"/>
    <w:rsid w:val="000C7282"/>
    <w:rsid w:val="000D1F0D"/>
    <w:rsid w:val="000D283B"/>
    <w:rsid w:val="000D336C"/>
    <w:rsid w:val="000D62E3"/>
    <w:rsid w:val="000E0B0A"/>
    <w:rsid w:val="000E1C05"/>
    <w:rsid w:val="000E709A"/>
    <w:rsid w:val="000F0071"/>
    <w:rsid w:val="000F069E"/>
    <w:rsid w:val="000F288E"/>
    <w:rsid w:val="000F354B"/>
    <w:rsid w:val="000F5568"/>
    <w:rsid w:val="000F6B3D"/>
    <w:rsid w:val="00101384"/>
    <w:rsid w:val="00103D92"/>
    <w:rsid w:val="001047F8"/>
    <w:rsid w:val="0011042B"/>
    <w:rsid w:val="00112E8D"/>
    <w:rsid w:val="0011614A"/>
    <w:rsid w:val="0012065D"/>
    <w:rsid w:val="00121480"/>
    <w:rsid w:val="00121B96"/>
    <w:rsid w:val="00122185"/>
    <w:rsid w:val="001238BA"/>
    <w:rsid w:val="0012393A"/>
    <w:rsid w:val="00124BAF"/>
    <w:rsid w:val="00124DC4"/>
    <w:rsid w:val="00130243"/>
    <w:rsid w:val="00132758"/>
    <w:rsid w:val="00135A4D"/>
    <w:rsid w:val="00141C28"/>
    <w:rsid w:val="00150823"/>
    <w:rsid w:val="00150C66"/>
    <w:rsid w:val="001510D1"/>
    <w:rsid w:val="00155AC9"/>
    <w:rsid w:val="0016121C"/>
    <w:rsid w:val="00163127"/>
    <w:rsid w:val="001706A8"/>
    <w:rsid w:val="001727BA"/>
    <w:rsid w:val="00172A27"/>
    <w:rsid w:val="00176E08"/>
    <w:rsid w:val="001805BD"/>
    <w:rsid w:val="00180810"/>
    <w:rsid w:val="00181B13"/>
    <w:rsid w:val="00182C7A"/>
    <w:rsid w:val="00185823"/>
    <w:rsid w:val="001865F1"/>
    <w:rsid w:val="00186B71"/>
    <w:rsid w:val="00190A8E"/>
    <w:rsid w:val="00194CDE"/>
    <w:rsid w:val="00195282"/>
    <w:rsid w:val="001959E1"/>
    <w:rsid w:val="00196491"/>
    <w:rsid w:val="00196C4A"/>
    <w:rsid w:val="001977EF"/>
    <w:rsid w:val="00197AEC"/>
    <w:rsid w:val="001A4624"/>
    <w:rsid w:val="001A6B9A"/>
    <w:rsid w:val="001B0D28"/>
    <w:rsid w:val="001B166B"/>
    <w:rsid w:val="001B75C0"/>
    <w:rsid w:val="001C0E66"/>
    <w:rsid w:val="001D0E18"/>
    <w:rsid w:val="001D1698"/>
    <w:rsid w:val="001D2A2F"/>
    <w:rsid w:val="001D38A0"/>
    <w:rsid w:val="001D3C75"/>
    <w:rsid w:val="001D5006"/>
    <w:rsid w:val="001D5162"/>
    <w:rsid w:val="001D5977"/>
    <w:rsid w:val="001D667D"/>
    <w:rsid w:val="001D6E3D"/>
    <w:rsid w:val="001E145D"/>
    <w:rsid w:val="001E3D14"/>
    <w:rsid w:val="001E4E10"/>
    <w:rsid w:val="001F116A"/>
    <w:rsid w:val="001F433F"/>
    <w:rsid w:val="001F5778"/>
    <w:rsid w:val="001F6FBA"/>
    <w:rsid w:val="00203D7F"/>
    <w:rsid w:val="00204A8E"/>
    <w:rsid w:val="002060E8"/>
    <w:rsid w:val="00206C16"/>
    <w:rsid w:val="00211417"/>
    <w:rsid w:val="002135D0"/>
    <w:rsid w:val="00214A61"/>
    <w:rsid w:val="00215567"/>
    <w:rsid w:val="002169BD"/>
    <w:rsid w:val="002206D3"/>
    <w:rsid w:val="00220C4E"/>
    <w:rsid w:val="0022327D"/>
    <w:rsid w:val="00225F09"/>
    <w:rsid w:val="00230311"/>
    <w:rsid w:val="00230313"/>
    <w:rsid w:val="0023048C"/>
    <w:rsid w:val="00231B8F"/>
    <w:rsid w:val="002320C5"/>
    <w:rsid w:val="0023346F"/>
    <w:rsid w:val="00233DFF"/>
    <w:rsid w:val="00236D71"/>
    <w:rsid w:val="002370E4"/>
    <w:rsid w:val="0024073B"/>
    <w:rsid w:val="00244082"/>
    <w:rsid w:val="00245528"/>
    <w:rsid w:val="002506A8"/>
    <w:rsid w:val="0025236D"/>
    <w:rsid w:val="00255B6F"/>
    <w:rsid w:val="00255CC8"/>
    <w:rsid w:val="00256944"/>
    <w:rsid w:val="00260657"/>
    <w:rsid w:val="00261DF2"/>
    <w:rsid w:val="00265F5E"/>
    <w:rsid w:val="0027075B"/>
    <w:rsid w:val="00271D22"/>
    <w:rsid w:val="00273D95"/>
    <w:rsid w:val="00274EF9"/>
    <w:rsid w:val="00275943"/>
    <w:rsid w:val="002803CA"/>
    <w:rsid w:val="00282959"/>
    <w:rsid w:val="002834D0"/>
    <w:rsid w:val="002842C6"/>
    <w:rsid w:val="00284598"/>
    <w:rsid w:val="00291111"/>
    <w:rsid w:val="00291953"/>
    <w:rsid w:val="00292EE6"/>
    <w:rsid w:val="00293166"/>
    <w:rsid w:val="00296151"/>
    <w:rsid w:val="002A1849"/>
    <w:rsid w:val="002A267E"/>
    <w:rsid w:val="002A29D7"/>
    <w:rsid w:val="002A389A"/>
    <w:rsid w:val="002A4322"/>
    <w:rsid w:val="002B024A"/>
    <w:rsid w:val="002B3A7D"/>
    <w:rsid w:val="002B3F46"/>
    <w:rsid w:val="002B735D"/>
    <w:rsid w:val="002C15E2"/>
    <w:rsid w:val="002C22CD"/>
    <w:rsid w:val="002C4670"/>
    <w:rsid w:val="002C4ACA"/>
    <w:rsid w:val="002C58CB"/>
    <w:rsid w:val="002D1D53"/>
    <w:rsid w:val="002D1D7B"/>
    <w:rsid w:val="002D3667"/>
    <w:rsid w:val="002D38F6"/>
    <w:rsid w:val="002D4566"/>
    <w:rsid w:val="002D47CE"/>
    <w:rsid w:val="002E1A52"/>
    <w:rsid w:val="002E5B96"/>
    <w:rsid w:val="002F2D30"/>
    <w:rsid w:val="003011DA"/>
    <w:rsid w:val="00302264"/>
    <w:rsid w:val="003022D2"/>
    <w:rsid w:val="00310701"/>
    <w:rsid w:val="003155BE"/>
    <w:rsid w:val="0031579F"/>
    <w:rsid w:val="003167B2"/>
    <w:rsid w:val="003175A6"/>
    <w:rsid w:val="00320333"/>
    <w:rsid w:val="003217D1"/>
    <w:rsid w:val="00326515"/>
    <w:rsid w:val="003327BF"/>
    <w:rsid w:val="0033324A"/>
    <w:rsid w:val="00335A7E"/>
    <w:rsid w:val="00341AD1"/>
    <w:rsid w:val="00341BC6"/>
    <w:rsid w:val="00341BDE"/>
    <w:rsid w:val="00342830"/>
    <w:rsid w:val="00342DE3"/>
    <w:rsid w:val="003435D9"/>
    <w:rsid w:val="00346DA6"/>
    <w:rsid w:val="003542B4"/>
    <w:rsid w:val="0035597E"/>
    <w:rsid w:val="003617C5"/>
    <w:rsid w:val="0036289D"/>
    <w:rsid w:val="0036368A"/>
    <w:rsid w:val="0036436F"/>
    <w:rsid w:val="00364AB0"/>
    <w:rsid w:val="00364C0B"/>
    <w:rsid w:val="00364DA0"/>
    <w:rsid w:val="00365B6A"/>
    <w:rsid w:val="00370303"/>
    <w:rsid w:val="003704F0"/>
    <w:rsid w:val="00370693"/>
    <w:rsid w:val="00370F13"/>
    <w:rsid w:val="00371FEE"/>
    <w:rsid w:val="00372898"/>
    <w:rsid w:val="00372A38"/>
    <w:rsid w:val="0038124E"/>
    <w:rsid w:val="00381257"/>
    <w:rsid w:val="003817FF"/>
    <w:rsid w:val="003838FB"/>
    <w:rsid w:val="003854CA"/>
    <w:rsid w:val="0039118F"/>
    <w:rsid w:val="003A4850"/>
    <w:rsid w:val="003B14B4"/>
    <w:rsid w:val="003B2CC5"/>
    <w:rsid w:val="003B2EB4"/>
    <w:rsid w:val="003B7AC7"/>
    <w:rsid w:val="003C2D05"/>
    <w:rsid w:val="003C4731"/>
    <w:rsid w:val="003C4D1F"/>
    <w:rsid w:val="003C6625"/>
    <w:rsid w:val="003D0326"/>
    <w:rsid w:val="003D1C09"/>
    <w:rsid w:val="003D2546"/>
    <w:rsid w:val="003D339E"/>
    <w:rsid w:val="003D3A33"/>
    <w:rsid w:val="003D6E03"/>
    <w:rsid w:val="003E2035"/>
    <w:rsid w:val="003E2162"/>
    <w:rsid w:val="003E3186"/>
    <w:rsid w:val="003E3742"/>
    <w:rsid w:val="003E41DE"/>
    <w:rsid w:val="003E6512"/>
    <w:rsid w:val="003E6BEE"/>
    <w:rsid w:val="003F12DB"/>
    <w:rsid w:val="003F4CA8"/>
    <w:rsid w:val="003F53A7"/>
    <w:rsid w:val="00407799"/>
    <w:rsid w:val="00407C5C"/>
    <w:rsid w:val="00410008"/>
    <w:rsid w:val="0041096C"/>
    <w:rsid w:val="004113E4"/>
    <w:rsid w:val="00415F84"/>
    <w:rsid w:val="00416C86"/>
    <w:rsid w:val="0042141A"/>
    <w:rsid w:val="00421F17"/>
    <w:rsid w:val="00423333"/>
    <w:rsid w:val="00423FD3"/>
    <w:rsid w:val="0042691B"/>
    <w:rsid w:val="004310D5"/>
    <w:rsid w:val="00431513"/>
    <w:rsid w:val="004323E7"/>
    <w:rsid w:val="00432A53"/>
    <w:rsid w:val="00432B34"/>
    <w:rsid w:val="004354DD"/>
    <w:rsid w:val="00436904"/>
    <w:rsid w:val="00436EF7"/>
    <w:rsid w:val="00436FE1"/>
    <w:rsid w:val="00441B20"/>
    <w:rsid w:val="0044385C"/>
    <w:rsid w:val="00443899"/>
    <w:rsid w:val="00444BE9"/>
    <w:rsid w:val="00446C9B"/>
    <w:rsid w:val="00447580"/>
    <w:rsid w:val="00450AB2"/>
    <w:rsid w:val="00451162"/>
    <w:rsid w:val="00453790"/>
    <w:rsid w:val="00460253"/>
    <w:rsid w:val="0046240D"/>
    <w:rsid w:val="00463B2C"/>
    <w:rsid w:val="0046625E"/>
    <w:rsid w:val="00466BE0"/>
    <w:rsid w:val="00467796"/>
    <w:rsid w:val="00471FDA"/>
    <w:rsid w:val="004725F6"/>
    <w:rsid w:val="00472FDE"/>
    <w:rsid w:val="0048411C"/>
    <w:rsid w:val="00484812"/>
    <w:rsid w:val="004851C7"/>
    <w:rsid w:val="004853B0"/>
    <w:rsid w:val="004854D1"/>
    <w:rsid w:val="00485FB8"/>
    <w:rsid w:val="00485FE7"/>
    <w:rsid w:val="0048657E"/>
    <w:rsid w:val="004929C4"/>
    <w:rsid w:val="00492C34"/>
    <w:rsid w:val="004A0AAF"/>
    <w:rsid w:val="004A18A2"/>
    <w:rsid w:val="004B3392"/>
    <w:rsid w:val="004B72BD"/>
    <w:rsid w:val="004B7968"/>
    <w:rsid w:val="004C0B66"/>
    <w:rsid w:val="004C2B52"/>
    <w:rsid w:val="004C45F1"/>
    <w:rsid w:val="004C6E4A"/>
    <w:rsid w:val="004C75C0"/>
    <w:rsid w:val="004D331E"/>
    <w:rsid w:val="004D4D93"/>
    <w:rsid w:val="004E01F0"/>
    <w:rsid w:val="004E402B"/>
    <w:rsid w:val="004E4EA9"/>
    <w:rsid w:val="004F0101"/>
    <w:rsid w:val="004F1F97"/>
    <w:rsid w:val="004F40C6"/>
    <w:rsid w:val="004F4769"/>
    <w:rsid w:val="004F4DE0"/>
    <w:rsid w:val="004F63CC"/>
    <w:rsid w:val="004F6F8A"/>
    <w:rsid w:val="004F7F4E"/>
    <w:rsid w:val="00500900"/>
    <w:rsid w:val="0050248C"/>
    <w:rsid w:val="00503C28"/>
    <w:rsid w:val="0050604C"/>
    <w:rsid w:val="00511786"/>
    <w:rsid w:val="005128B1"/>
    <w:rsid w:val="005129B9"/>
    <w:rsid w:val="0051305B"/>
    <w:rsid w:val="005159EC"/>
    <w:rsid w:val="00521F7C"/>
    <w:rsid w:val="00524310"/>
    <w:rsid w:val="00524AE8"/>
    <w:rsid w:val="00525741"/>
    <w:rsid w:val="00526D63"/>
    <w:rsid w:val="0053028A"/>
    <w:rsid w:val="005312F3"/>
    <w:rsid w:val="00532852"/>
    <w:rsid w:val="00536727"/>
    <w:rsid w:val="00542330"/>
    <w:rsid w:val="00543250"/>
    <w:rsid w:val="00543929"/>
    <w:rsid w:val="00543991"/>
    <w:rsid w:val="005445E4"/>
    <w:rsid w:val="005460A1"/>
    <w:rsid w:val="00550747"/>
    <w:rsid w:val="0055371D"/>
    <w:rsid w:val="00555043"/>
    <w:rsid w:val="00555A5B"/>
    <w:rsid w:val="00561325"/>
    <w:rsid w:val="0056512A"/>
    <w:rsid w:val="005658B5"/>
    <w:rsid w:val="00566B52"/>
    <w:rsid w:val="00570B78"/>
    <w:rsid w:val="00572520"/>
    <w:rsid w:val="00574493"/>
    <w:rsid w:val="00576A7A"/>
    <w:rsid w:val="00576DFF"/>
    <w:rsid w:val="0057741B"/>
    <w:rsid w:val="00582C1E"/>
    <w:rsid w:val="00585145"/>
    <w:rsid w:val="00592A99"/>
    <w:rsid w:val="005962FE"/>
    <w:rsid w:val="00596445"/>
    <w:rsid w:val="00597F32"/>
    <w:rsid w:val="005A017A"/>
    <w:rsid w:val="005A196E"/>
    <w:rsid w:val="005A2F65"/>
    <w:rsid w:val="005A673F"/>
    <w:rsid w:val="005B25E7"/>
    <w:rsid w:val="005B3F8F"/>
    <w:rsid w:val="005B6E6F"/>
    <w:rsid w:val="005C1BA0"/>
    <w:rsid w:val="005C3053"/>
    <w:rsid w:val="005C41AA"/>
    <w:rsid w:val="005C76CE"/>
    <w:rsid w:val="005D0A74"/>
    <w:rsid w:val="005D1A44"/>
    <w:rsid w:val="005D2430"/>
    <w:rsid w:val="005D3033"/>
    <w:rsid w:val="005D55C2"/>
    <w:rsid w:val="005D60D1"/>
    <w:rsid w:val="005D71B4"/>
    <w:rsid w:val="005D793D"/>
    <w:rsid w:val="005E0333"/>
    <w:rsid w:val="005E0E4A"/>
    <w:rsid w:val="005E2990"/>
    <w:rsid w:val="005F1AA0"/>
    <w:rsid w:val="005F1EA4"/>
    <w:rsid w:val="005F27A2"/>
    <w:rsid w:val="005F4B66"/>
    <w:rsid w:val="00601E0C"/>
    <w:rsid w:val="00603278"/>
    <w:rsid w:val="00604D14"/>
    <w:rsid w:val="00605EA3"/>
    <w:rsid w:val="006119FB"/>
    <w:rsid w:val="00611E3A"/>
    <w:rsid w:val="00612234"/>
    <w:rsid w:val="006161B9"/>
    <w:rsid w:val="0061795B"/>
    <w:rsid w:val="00623E91"/>
    <w:rsid w:val="0062414B"/>
    <w:rsid w:val="006245B0"/>
    <w:rsid w:val="0063001C"/>
    <w:rsid w:val="006316A6"/>
    <w:rsid w:val="00631EF8"/>
    <w:rsid w:val="00635D2F"/>
    <w:rsid w:val="0063644C"/>
    <w:rsid w:val="0063645F"/>
    <w:rsid w:val="0064115E"/>
    <w:rsid w:val="0064398B"/>
    <w:rsid w:val="006463E2"/>
    <w:rsid w:val="0064672A"/>
    <w:rsid w:val="00646993"/>
    <w:rsid w:val="00647968"/>
    <w:rsid w:val="00647B2E"/>
    <w:rsid w:val="0065038D"/>
    <w:rsid w:val="00650EBF"/>
    <w:rsid w:val="00653B80"/>
    <w:rsid w:val="00656FA9"/>
    <w:rsid w:val="006574CC"/>
    <w:rsid w:val="00666D78"/>
    <w:rsid w:val="00667AE5"/>
    <w:rsid w:val="00673DF0"/>
    <w:rsid w:val="00674ADE"/>
    <w:rsid w:val="0067620A"/>
    <w:rsid w:val="006765D8"/>
    <w:rsid w:val="0067731E"/>
    <w:rsid w:val="006821AF"/>
    <w:rsid w:val="00682675"/>
    <w:rsid w:val="006832D5"/>
    <w:rsid w:val="006852C0"/>
    <w:rsid w:val="0069170F"/>
    <w:rsid w:val="00692655"/>
    <w:rsid w:val="006929B1"/>
    <w:rsid w:val="00697EEB"/>
    <w:rsid w:val="006A061C"/>
    <w:rsid w:val="006A1A52"/>
    <w:rsid w:val="006A233F"/>
    <w:rsid w:val="006A4301"/>
    <w:rsid w:val="006A5AF0"/>
    <w:rsid w:val="006B3E39"/>
    <w:rsid w:val="006B574D"/>
    <w:rsid w:val="006C3467"/>
    <w:rsid w:val="006C59E8"/>
    <w:rsid w:val="006C5B57"/>
    <w:rsid w:val="006C6D83"/>
    <w:rsid w:val="006D19C2"/>
    <w:rsid w:val="006D1DF5"/>
    <w:rsid w:val="006D39CC"/>
    <w:rsid w:val="006D3AF2"/>
    <w:rsid w:val="006D6627"/>
    <w:rsid w:val="006D694E"/>
    <w:rsid w:val="006D7D43"/>
    <w:rsid w:val="006E0168"/>
    <w:rsid w:val="006E1DD3"/>
    <w:rsid w:val="006E4ACF"/>
    <w:rsid w:val="006F0F3E"/>
    <w:rsid w:val="006F72F5"/>
    <w:rsid w:val="00700E56"/>
    <w:rsid w:val="00706308"/>
    <w:rsid w:val="00710B8D"/>
    <w:rsid w:val="007117B9"/>
    <w:rsid w:val="00712F64"/>
    <w:rsid w:val="00717A66"/>
    <w:rsid w:val="0072143A"/>
    <w:rsid w:val="0072224E"/>
    <w:rsid w:val="00727245"/>
    <w:rsid w:val="00727D7C"/>
    <w:rsid w:val="00734996"/>
    <w:rsid w:val="007354BE"/>
    <w:rsid w:val="0073568F"/>
    <w:rsid w:val="00737A7B"/>
    <w:rsid w:val="00740E0A"/>
    <w:rsid w:val="00742E60"/>
    <w:rsid w:val="00744402"/>
    <w:rsid w:val="00744A12"/>
    <w:rsid w:val="007453AA"/>
    <w:rsid w:val="007460AE"/>
    <w:rsid w:val="0074624A"/>
    <w:rsid w:val="00751276"/>
    <w:rsid w:val="00752C5B"/>
    <w:rsid w:val="007536B4"/>
    <w:rsid w:val="00754650"/>
    <w:rsid w:val="007562BC"/>
    <w:rsid w:val="00756C66"/>
    <w:rsid w:val="00761BFA"/>
    <w:rsid w:val="007627C4"/>
    <w:rsid w:val="00765D36"/>
    <w:rsid w:val="0076696E"/>
    <w:rsid w:val="00767846"/>
    <w:rsid w:val="00767B81"/>
    <w:rsid w:val="00770375"/>
    <w:rsid w:val="00772122"/>
    <w:rsid w:val="00772499"/>
    <w:rsid w:val="007741F2"/>
    <w:rsid w:val="0077793C"/>
    <w:rsid w:val="00780410"/>
    <w:rsid w:val="00784311"/>
    <w:rsid w:val="007846B7"/>
    <w:rsid w:val="00785042"/>
    <w:rsid w:val="00785636"/>
    <w:rsid w:val="007863A2"/>
    <w:rsid w:val="007907ED"/>
    <w:rsid w:val="00790D8E"/>
    <w:rsid w:val="00791785"/>
    <w:rsid w:val="007950C9"/>
    <w:rsid w:val="0079637F"/>
    <w:rsid w:val="007A18C1"/>
    <w:rsid w:val="007A2796"/>
    <w:rsid w:val="007A3B71"/>
    <w:rsid w:val="007A3F7B"/>
    <w:rsid w:val="007A4808"/>
    <w:rsid w:val="007A52D6"/>
    <w:rsid w:val="007A5901"/>
    <w:rsid w:val="007A5E90"/>
    <w:rsid w:val="007B0923"/>
    <w:rsid w:val="007B1773"/>
    <w:rsid w:val="007B2D6E"/>
    <w:rsid w:val="007B4AE2"/>
    <w:rsid w:val="007B5AD2"/>
    <w:rsid w:val="007B67C8"/>
    <w:rsid w:val="007C0211"/>
    <w:rsid w:val="007C0C65"/>
    <w:rsid w:val="007C1B66"/>
    <w:rsid w:val="007C3654"/>
    <w:rsid w:val="007C6ECF"/>
    <w:rsid w:val="007C7A11"/>
    <w:rsid w:val="007D0499"/>
    <w:rsid w:val="007D208E"/>
    <w:rsid w:val="007D237B"/>
    <w:rsid w:val="007D3F86"/>
    <w:rsid w:val="007E262C"/>
    <w:rsid w:val="007E6355"/>
    <w:rsid w:val="007E707E"/>
    <w:rsid w:val="007F0512"/>
    <w:rsid w:val="007F06E5"/>
    <w:rsid w:val="007F1598"/>
    <w:rsid w:val="007F4679"/>
    <w:rsid w:val="007F5870"/>
    <w:rsid w:val="00803475"/>
    <w:rsid w:val="008120EE"/>
    <w:rsid w:val="008126CC"/>
    <w:rsid w:val="00820461"/>
    <w:rsid w:val="008219A8"/>
    <w:rsid w:val="00823A31"/>
    <w:rsid w:val="00823FE3"/>
    <w:rsid w:val="00827966"/>
    <w:rsid w:val="00827BC1"/>
    <w:rsid w:val="00827ED7"/>
    <w:rsid w:val="008356C8"/>
    <w:rsid w:val="00835BB0"/>
    <w:rsid w:val="008374D8"/>
    <w:rsid w:val="00840059"/>
    <w:rsid w:val="00841D9A"/>
    <w:rsid w:val="00844B9A"/>
    <w:rsid w:val="0085005C"/>
    <w:rsid w:val="00852758"/>
    <w:rsid w:val="00852BD3"/>
    <w:rsid w:val="00853BA2"/>
    <w:rsid w:val="00854292"/>
    <w:rsid w:val="00854BC2"/>
    <w:rsid w:val="00860AEB"/>
    <w:rsid w:val="00866D5B"/>
    <w:rsid w:val="00867222"/>
    <w:rsid w:val="00870A0D"/>
    <w:rsid w:val="008711C3"/>
    <w:rsid w:val="008713B8"/>
    <w:rsid w:val="00871654"/>
    <w:rsid w:val="00872307"/>
    <w:rsid w:val="00873EF3"/>
    <w:rsid w:val="0088054C"/>
    <w:rsid w:val="008844E4"/>
    <w:rsid w:val="00885357"/>
    <w:rsid w:val="008905F3"/>
    <w:rsid w:val="00892603"/>
    <w:rsid w:val="00892C95"/>
    <w:rsid w:val="0089306B"/>
    <w:rsid w:val="008937B1"/>
    <w:rsid w:val="008A0393"/>
    <w:rsid w:val="008A1DCA"/>
    <w:rsid w:val="008A3C3C"/>
    <w:rsid w:val="008A644A"/>
    <w:rsid w:val="008B0E5B"/>
    <w:rsid w:val="008B239E"/>
    <w:rsid w:val="008B2FC2"/>
    <w:rsid w:val="008B3A14"/>
    <w:rsid w:val="008B3FAF"/>
    <w:rsid w:val="008B5528"/>
    <w:rsid w:val="008B5DAC"/>
    <w:rsid w:val="008B5F06"/>
    <w:rsid w:val="008B621C"/>
    <w:rsid w:val="008B64FF"/>
    <w:rsid w:val="008B7433"/>
    <w:rsid w:val="008B7727"/>
    <w:rsid w:val="008C143D"/>
    <w:rsid w:val="008C239D"/>
    <w:rsid w:val="008D4F31"/>
    <w:rsid w:val="008D5CBE"/>
    <w:rsid w:val="008D7A5E"/>
    <w:rsid w:val="008E0EF3"/>
    <w:rsid w:val="008E32FC"/>
    <w:rsid w:val="008E6CA7"/>
    <w:rsid w:val="008E7BA9"/>
    <w:rsid w:val="008F09D8"/>
    <w:rsid w:val="008F12C7"/>
    <w:rsid w:val="008F2615"/>
    <w:rsid w:val="008F3FB8"/>
    <w:rsid w:val="00901A15"/>
    <w:rsid w:val="00901FCC"/>
    <w:rsid w:val="00903B28"/>
    <w:rsid w:val="00904E79"/>
    <w:rsid w:val="0090556A"/>
    <w:rsid w:val="00907077"/>
    <w:rsid w:val="009100D5"/>
    <w:rsid w:val="0091182D"/>
    <w:rsid w:val="0091239E"/>
    <w:rsid w:val="00912AF3"/>
    <w:rsid w:val="009136AD"/>
    <w:rsid w:val="00915ECC"/>
    <w:rsid w:val="0091742B"/>
    <w:rsid w:val="009246A1"/>
    <w:rsid w:val="00930963"/>
    <w:rsid w:val="00933BB3"/>
    <w:rsid w:val="009364F8"/>
    <w:rsid w:val="009403A4"/>
    <w:rsid w:val="00941F50"/>
    <w:rsid w:val="00943E7A"/>
    <w:rsid w:val="00946C24"/>
    <w:rsid w:val="00946CAA"/>
    <w:rsid w:val="00946FD9"/>
    <w:rsid w:val="00954943"/>
    <w:rsid w:val="00955991"/>
    <w:rsid w:val="009560FA"/>
    <w:rsid w:val="00961447"/>
    <w:rsid w:val="00965CCB"/>
    <w:rsid w:val="00971DBC"/>
    <w:rsid w:val="009721EE"/>
    <w:rsid w:val="00972881"/>
    <w:rsid w:val="00980B76"/>
    <w:rsid w:val="00982E8B"/>
    <w:rsid w:val="00985F30"/>
    <w:rsid w:val="00986269"/>
    <w:rsid w:val="00990E99"/>
    <w:rsid w:val="009A1ECB"/>
    <w:rsid w:val="009A28FC"/>
    <w:rsid w:val="009A2C13"/>
    <w:rsid w:val="009A54D1"/>
    <w:rsid w:val="009A5993"/>
    <w:rsid w:val="009B148C"/>
    <w:rsid w:val="009B1E83"/>
    <w:rsid w:val="009B3867"/>
    <w:rsid w:val="009B689F"/>
    <w:rsid w:val="009C062E"/>
    <w:rsid w:val="009C628B"/>
    <w:rsid w:val="009C779B"/>
    <w:rsid w:val="009C7E0B"/>
    <w:rsid w:val="009D0D25"/>
    <w:rsid w:val="009D407D"/>
    <w:rsid w:val="009D7FED"/>
    <w:rsid w:val="009E02F9"/>
    <w:rsid w:val="009E412B"/>
    <w:rsid w:val="009E4C94"/>
    <w:rsid w:val="009E74AF"/>
    <w:rsid w:val="009F0348"/>
    <w:rsid w:val="009F04D0"/>
    <w:rsid w:val="009F0941"/>
    <w:rsid w:val="009F11AB"/>
    <w:rsid w:val="009F13B1"/>
    <w:rsid w:val="009F42C0"/>
    <w:rsid w:val="009F4509"/>
    <w:rsid w:val="009F79FB"/>
    <w:rsid w:val="00A023E2"/>
    <w:rsid w:val="00A027CF"/>
    <w:rsid w:val="00A030E8"/>
    <w:rsid w:val="00A034DB"/>
    <w:rsid w:val="00A039CB"/>
    <w:rsid w:val="00A0571E"/>
    <w:rsid w:val="00A10054"/>
    <w:rsid w:val="00A11118"/>
    <w:rsid w:val="00A137F6"/>
    <w:rsid w:val="00A13A56"/>
    <w:rsid w:val="00A140A1"/>
    <w:rsid w:val="00A142F4"/>
    <w:rsid w:val="00A158B0"/>
    <w:rsid w:val="00A16B12"/>
    <w:rsid w:val="00A21B97"/>
    <w:rsid w:val="00A22150"/>
    <w:rsid w:val="00A242D9"/>
    <w:rsid w:val="00A25C16"/>
    <w:rsid w:val="00A25F60"/>
    <w:rsid w:val="00A31565"/>
    <w:rsid w:val="00A33864"/>
    <w:rsid w:val="00A34568"/>
    <w:rsid w:val="00A34FE6"/>
    <w:rsid w:val="00A35E49"/>
    <w:rsid w:val="00A363D1"/>
    <w:rsid w:val="00A36919"/>
    <w:rsid w:val="00A3715D"/>
    <w:rsid w:val="00A40490"/>
    <w:rsid w:val="00A52D8C"/>
    <w:rsid w:val="00A530A9"/>
    <w:rsid w:val="00A53C54"/>
    <w:rsid w:val="00A54B44"/>
    <w:rsid w:val="00A56A06"/>
    <w:rsid w:val="00A56CC0"/>
    <w:rsid w:val="00A6009D"/>
    <w:rsid w:val="00A629B0"/>
    <w:rsid w:val="00A639C3"/>
    <w:rsid w:val="00A63F14"/>
    <w:rsid w:val="00A64BDC"/>
    <w:rsid w:val="00A65A77"/>
    <w:rsid w:val="00A67851"/>
    <w:rsid w:val="00A7087F"/>
    <w:rsid w:val="00A726FB"/>
    <w:rsid w:val="00A72EAB"/>
    <w:rsid w:val="00A747D2"/>
    <w:rsid w:val="00A75398"/>
    <w:rsid w:val="00A80E8B"/>
    <w:rsid w:val="00A81B9C"/>
    <w:rsid w:val="00A85179"/>
    <w:rsid w:val="00A959D1"/>
    <w:rsid w:val="00A95BDA"/>
    <w:rsid w:val="00A96061"/>
    <w:rsid w:val="00A96DBE"/>
    <w:rsid w:val="00A96E5F"/>
    <w:rsid w:val="00AA6262"/>
    <w:rsid w:val="00AB0F2A"/>
    <w:rsid w:val="00AB1AFC"/>
    <w:rsid w:val="00AB413F"/>
    <w:rsid w:val="00AB468E"/>
    <w:rsid w:val="00AB6C2B"/>
    <w:rsid w:val="00AB7B37"/>
    <w:rsid w:val="00AB7FC6"/>
    <w:rsid w:val="00AC0980"/>
    <w:rsid w:val="00AC0DD6"/>
    <w:rsid w:val="00AC2BBC"/>
    <w:rsid w:val="00AC3BB2"/>
    <w:rsid w:val="00AC40C1"/>
    <w:rsid w:val="00AC6487"/>
    <w:rsid w:val="00AC7201"/>
    <w:rsid w:val="00AC7504"/>
    <w:rsid w:val="00AD0A55"/>
    <w:rsid w:val="00AD21B1"/>
    <w:rsid w:val="00AD32BA"/>
    <w:rsid w:val="00AD3485"/>
    <w:rsid w:val="00AD5DFC"/>
    <w:rsid w:val="00AE0E58"/>
    <w:rsid w:val="00AF1A38"/>
    <w:rsid w:val="00AF2591"/>
    <w:rsid w:val="00AF3C52"/>
    <w:rsid w:val="00AF667B"/>
    <w:rsid w:val="00AF7D89"/>
    <w:rsid w:val="00B012AE"/>
    <w:rsid w:val="00B017F9"/>
    <w:rsid w:val="00B0363E"/>
    <w:rsid w:val="00B0365D"/>
    <w:rsid w:val="00B0534B"/>
    <w:rsid w:val="00B0745C"/>
    <w:rsid w:val="00B105A7"/>
    <w:rsid w:val="00B11F3A"/>
    <w:rsid w:val="00B133DA"/>
    <w:rsid w:val="00B1626C"/>
    <w:rsid w:val="00B27269"/>
    <w:rsid w:val="00B34AB2"/>
    <w:rsid w:val="00B354D6"/>
    <w:rsid w:val="00B4378F"/>
    <w:rsid w:val="00B46FFC"/>
    <w:rsid w:val="00B50E14"/>
    <w:rsid w:val="00B541D1"/>
    <w:rsid w:val="00B5657C"/>
    <w:rsid w:val="00B571C4"/>
    <w:rsid w:val="00B57E09"/>
    <w:rsid w:val="00B6091C"/>
    <w:rsid w:val="00B60D7E"/>
    <w:rsid w:val="00B61ABF"/>
    <w:rsid w:val="00B62509"/>
    <w:rsid w:val="00B629A4"/>
    <w:rsid w:val="00B62CAB"/>
    <w:rsid w:val="00B634C1"/>
    <w:rsid w:val="00B65708"/>
    <w:rsid w:val="00B66B86"/>
    <w:rsid w:val="00B676F8"/>
    <w:rsid w:val="00B679F3"/>
    <w:rsid w:val="00B70EBE"/>
    <w:rsid w:val="00B73826"/>
    <w:rsid w:val="00B73AE6"/>
    <w:rsid w:val="00B77D6E"/>
    <w:rsid w:val="00B82D11"/>
    <w:rsid w:val="00B94C88"/>
    <w:rsid w:val="00B95531"/>
    <w:rsid w:val="00B97F24"/>
    <w:rsid w:val="00BA028B"/>
    <w:rsid w:val="00BA0CC9"/>
    <w:rsid w:val="00BA4211"/>
    <w:rsid w:val="00BA4F4F"/>
    <w:rsid w:val="00BA6030"/>
    <w:rsid w:val="00BA6DA0"/>
    <w:rsid w:val="00BA7131"/>
    <w:rsid w:val="00BB2654"/>
    <w:rsid w:val="00BB33FD"/>
    <w:rsid w:val="00BB39FD"/>
    <w:rsid w:val="00BB3E8B"/>
    <w:rsid w:val="00BB4050"/>
    <w:rsid w:val="00BB5F11"/>
    <w:rsid w:val="00BB6DCC"/>
    <w:rsid w:val="00BC03BC"/>
    <w:rsid w:val="00BC16E1"/>
    <w:rsid w:val="00BC195C"/>
    <w:rsid w:val="00BC2986"/>
    <w:rsid w:val="00BC3268"/>
    <w:rsid w:val="00BC5ADA"/>
    <w:rsid w:val="00BC5E7D"/>
    <w:rsid w:val="00BC603D"/>
    <w:rsid w:val="00BC650E"/>
    <w:rsid w:val="00BC721C"/>
    <w:rsid w:val="00BD00D9"/>
    <w:rsid w:val="00BD09F8"/>
    <w:rsid w:val="00BD4095"/>
    <w:rsid w:val="00BD53D9"/>
    <w:rsid w:val="00BD564A"/>
    <w:rsid w:val="00BD567B"/>
    <w:rsid w:val="00BD56D7"/>
    <w:rsid w:val="00BD5A9D"/>
    <w:rsid w:val="00BD7884"/>
    <w:rsid w:val="00BE3335"/>
    <w:rsid w:val="00BE547D"/>
    <w:rsid w:val="00BE624E"/>
    <w:rsid w:val="00BE749C"/>
    <w:rsid w:val="00BE7E6C"/>
    <w:rsid w:val="00BF4CD4"/>
    <w:rsid w:val="00C017F4"/>
    <w:rsid w:val="00C049D5"/>
    <w:rsid w:val="00C064A6"/>
    <w:rsid w:val="00C102A7"/>
    <w:rsid w:val="00C11924"/>
    <w:rsid w:val="00C1541E"/>
    <w:rsid w:val="00C15D41"/>
    <w:rsid w:val="00C20E95"/>
    <w:rsid w:val="00C23628"/>
    <w:rsid w:val="00C240E3"/>
    <w:rsid w:val="00C2424C"/>
    <w:rsid w:val="00C31593"/>
    <w:rsid w:val="00C31A87"/>
    <w:rsid w:val="00C35925"/>
    <w:rsid w:val="00C4306E"/>
    <w:rsid w:val="00C46469"/>
    <w:rsid w:val="00C47CDE"/>
    <w:rsid w:val="00C50006"/>
    <w:rsid w:val="00C504BA"/>
    <w:rsid w:val="00C5079C"/>
    <w:rsid w:val="00C5226B"/>
    <w:rsid w:val="00C54720"/>
    <w:rsid w:val="00C54E7F"/>
    <w:rsid w:val="00C5673D"/>
    <w:rsid w:val="00C56D3A"/>
    <w:rsid w:val="00C57B15"/>
    <w:rsid w:val="00C603C8"/>
    <w:rsid w:val="00C62064"/>
    <w:rsid w:val="00C622E1"/>
    <w:rsid w:val="00C73D6C"/>
    <w:rsid w:val="00C743A5"/>
    <w:rsid w:val="00C7669C"/>
    <w:rsid w:val="00C76BC9"/>
    <w:rsid w:val="00C82528"/>
    <w:rsid w:val="00C831C6"/>
    <w:rsid w:val="00C8451B"/>
    <w:rsid w:val="00C85E91"/>
    <w:rsid w:val="00C86BA7"/>
    <w:rsid w:val="00C87DB7"/>
    <w:rsid w:val="00C913E0"/>
    <w:rsid w:val="00C92177"/>
    <w:rsid w:val="00C92EA4"/>
    <w:rsid w:val="00C940B0"/>
    <w:rsid w:val="00C94CBB"/>
    <w:rsid w:val="00C9565B"/>
    <w:rsid w:val="00C96032"/>
    <w:rsid w:val="00C9719F"/>
    <w:rsid w:val="00CA386D"/>
    <w:rsid w:val="00CA6F50"/>
    <w:rsid w:val="00CA70FE"/>
    <w:rsid w:val="00CB023B"/>
    <w:rsid w:val="00CB44FA"/>
    <w:rsid w:val="00CB664D"/>
    <w:rsid w:val="00CB733C"/>
    <w:rsid w:val="00CB7372"/>
    <w:rsid w:val="00CB76F8"/>
    <w:rsid w:val="00CC1B65"/>
    <w:rsid w:val="00CC3F5D"/>
    <w:rsid w:val="00CC5176"/>
    <w:rsid w:val="00CC6EEA"/>
    <w:rsid w:val="00CD1DD9"/>
    <w:rsid w:val="00CE1BCB"/>
    <w:rsid w:val="00CE34A0"/>
    <w:rsid w:val="00CE459B"/>
    <w:rsid w:val="00CE75FD"/>
    <w:rsid w:val="00CE7754"/>
    <w:rsid w:val="00CE7979"/>
    <w:rsid w:val="00CF0183"/>
    <w:rsid w:val="00CF10EE"/>
    <w:rsid w:val="00CF213E"/>
    <w:rsid w:val="00CF2333"/>
    <w:rsid w:val="00CF64CD"/>
    <w:rsid w:val="00D00A7B"/>
    <w:rsid w:val="00D050F1"/>
    <w:rsid w:val="00D065C5"/>
    <w:rsid w:val="00D06A2D"/>
    <w:rsid w:val="00D0741F"/>
    <w:rsid w:val="00D11CD2"/>
    <w:rsid w:val="00D1250C"/>
    <w:rsid w:val="00D139B5"/>
    <w:rsid w:val="00D154A1"/>
    <w:rsid w:val="00D17361"/>
    <w:rsid w:val="00D241E7"/>
    <w:rsid w:val="00D259BF"/>
    <w:rsid w:val="00D25C70"/>
    <w:rsid w:val="00D263EB"/>
    <w:rsid w:val="00D26D33"/>
    <w:rsid w:val="00D31C94"/>
    <w:rsid w:val="00D373F8"/>
    <w:rsid w:val="00D375F9"/>
    <w:rsid w:val="00D41105"/>
    <w:rsid w:val="00D41350"/>
    <w:rsid w:val="00D43FBA"/>
    <w:rsid w:val="00D440C3"/>
    <w:rsid w:val="00D469AF"/>
    <w:rsid w:val="00D6104A"/>
    <w:rsid w:val="00D63C69"/>
    <w:rsid w:val="00D66621"/>
    <w:rsid w:val="00D6767C"/>
    <w:rsid w:val="00D676FA"/>
    <w:rsid w:val="00D67BFC"/>
    <w:rsid w:val="00D72D75"/>
    <w:rsid w:val="00D732DB"/>
    <w:rsid w:val="00D751A6"/>
    <w:rsid w:val="00D757B9"/>
    <w:rsid w:val="00D76DAA"/>
    <w:rsid w:val="00D7789B"/>
    <w:rsid w:val="00D80769"/>
    <w:rsid w:val="00D84DF1"/>
    <w:rsid w:val="00D86614"/>
    <w:rsid w:val="00D92CB5"/>
    <w:rsid w:val="00DA1D0D"/>
    <w:rsid w:val="00DA669A"/>
    <w:rsid w:val="00DB0958"/>
    <w:rsid w:val="00DB341D"/>
    <w:rsid w:val="00DB37D3"/>
    <w:rsid w:val="00DB4EC8"/>
    <w:rsid w:val="00DB7B75"/>
    <w:rsid w:val="00DC2D5B"/>
    <w:rsid w:val="00DC5D56"/>
    <w:rsid w:val="00DD12B3"/>
    <w:rsid w:val="00DD2BB3"/>
    <w:rsid w:val="00DD38D0"/>
    <w:rsid w:val="00DD579F"/>
    <w:rsid w:val="00DD715F"/>
    <w:rsid w:val="00DE1016"/>
    <w:rsid w:val="00DE1F2B"/>
    <w:rsid w:val="00DE3407"/>
    <w:rsid w:val="00DF13BA"/>
    <w:rsid w:val="00DF1407"/>
    <w:rsid w:val="00DF25AB"/>
    <w:rsid w:val="00DF3734"/>
    <w:rsid w:val="00DF7BEA"/>
    <w:rsid w:val="00DF7D05"/>
    <w:rsid w:val="00DF7F52"/>
    <w:rsid w:val="00E00A3D"/>
    <w:rsid w:val="00E00BFA"/>
    <w:rsid w:val="00E01764"/>
    <w:rsid w:val="00E032E9"/>
    <w:rsid w:val="00E05312"/>
    <w:rsid w:val="00E07CE1"/>
    <w:rsid w:val="00E07E42"/>
    <w:rsid w:val="00E07F67"/>
    <w:rsid w:val="00E10BCE"/>
    <w:rsid w:val="00E17852"/>
    <w:rsid w:val="00E21252"/>
    <w:rsid w:val="00E2210B"/>
    <w:rsid w:val="00E22750"/>
    <w:rsid w:val="00E2532B"/>
    <w:rsid w:val="00E2553F"/>
    <w:rsid w:val="00E260C9"/>
    <w:rsid w:val="00E26A4E"/>
    <w:rsid w:val="00E27E40"/>
    <w:rsid w:val="00E30FF7"/>
    <w:rsid w:val="00E3197F"/>
    <w:rsid w:val="00E408E0"/>
    <w:rsid w:val="00E41C9B"/>
    <w:rsid w:val="00E43B5A"/>
    <w:rsid w:val="00E44B9F"/>
    <w:rsid w:val="00E47815"/>
    <w:rsid w:val="00E57BE2"/>
    <w:rsid w:val="00E60D78"/>
    <w:rsid w:val="00E61775"/>
    <w:rsid w:val="00E65D1D"/>
    <w:rsid w:val="00E65ED9"/>
    <w:rsid w:val="00E6744B"/>
    <w:rsid w:val="00E727CC"/>
    <w:rsid w:val="00E748A8"/>
    <w:rsid w:val="00E77A1A"/>
    <w:rsid w:val="00E80555"/>
    <w:rsid w:val="00E80622"/>
    <w:rsid w:val="00E82254"/>
    <w:rsid w:val="00E822AB"/>
    <w:rsid w:val="00E82B5F"/>
    <w:rsid w:val="00E82C34"/>
    <w:rsid w:val="00E83782"/>
    <w:rsid w:val="00E84813"/>
    <w:rsid w:val="00E85CAC"/>
    <w:rsid w:val="00E923CE"/>
    <w:rsid w:val="00E92A22"/>
    <w:rsid w:val="00E95EF7"/>
    <w:rsid w:val="00EA4B5F"/>
    <w:rsid w:val="00EA71A4"/>
    <w:rsid w:val="00EB060D"/>
    <w:rsid w:val="00EB11A0"/>
    <w:rsid w:val="00EB2029"/>
    <w:rsid w:val="00EB40D8"/>
    <w:rsid w:val="00EB61F9"/>
    <w:rsid w:val="00EC3478"/>
    <w:rsid w:val="00EC349E"/>
    <w:rsid w:val="00EC34DE"/>
    <w:rsid w:val="00EC44AA"/>
    <w:rsid w:val="00EC59EE"/>
    <w:rsid w:val="00EC5F6A"/>
    <w:rsid w:val="00EC7D21"/>
    <w:rsid w:val="00ED1D88"/>
    <w:rsid w:val="00ED4F51"/>
    <w:rsid w:val="00ED6720"/>
    <w:rsid w:val="00EE13D8"/>
    <w:rsid w:val="00EE2017"/>
    <w:rsid w:val="00EE4EEA"/>
    <w:rsid w:val="00EE4F32"/>
    <w:rsid w:val="00EE50AE"/>
    <w:rsid w:val="00EE53F7"/>
    <w:rsid w:val="00EE5EAD"/>
    <w:rsid w:val="00EF3339"/>
    <w:rsid w:val="00EF3365"/>
    <w:rsid w:val="00EF5016"/>
    <w:rsid w:val="00EF55A3"/>
    <w:rsid w:val="00EF57C7"/>
    <w:rsid w:val="00F00FB0"/>
    <w:rsid w:val="00F0239C"/>
    <w:rsid w:val="00F03376"/>
    <w:rsid w:val="00F06311"/>
    <w:rsid w:val="00F10A21"/>
    <w:rsid w:val="00F10BB3"/>
    <w:rsid w:val="00F10DEC"/>
    <w:rsid w:val="00F10E81"/>
    <w:rsid w:val="00F11391"/>
    <w:rsid w:val="00F13369"/>
    <w:rsid w:val="00F139E0"/>
    <w:rsid w:val="00F142EC"/>
    <w:rsid w:val="00F17153"/>
    <w:rsid w:val="00F173F5"/>
    <w:rsid w:val="00F17D9F"/>
    <w:rsid w:val="00F21A7E"/>
    <w:rsid w:val="00F23BA0"/>
    <w:rsid w:val="00F23BFA"/>
    <w:rsid w:val="00F23E67"/>
    <w:rsid w:val="00F25486"/>
    <w:rsid w:val="00F300A5"/>
    <w:rsid w:val="00F30222"/>
    <w:rsid w:val="00F31136"/>
    <w:rsid w:val="00F34001"/>
    <w:rsid w:val="00F3439B"/>
    <w:rsid w:val="00F35DD7"/>
    <w:rsid w:val="00F369B5"/>
    <w:rsid w:val="00F36FFA"/>
    <w:rsid w:val="00F37B4C"/>
    <w:rsid w:val="00F41F92"/>
    <w:rsid w:val="00F4242B"/>
    <w:rsid w:val="00F4330E"/>
    <w:rsid w:val="00F54AEE"/>
    <w:rsid w:val="00F61753"/>
    <w:rsid w:val="00F625FB"/>
    <w:rsid w:val="00F63EC3"/>
    <w:rsid w:val="00F65E42"/>
    <w:rsid w:val="00F71DCB"/>
    <w:rsid w:val="00F72A59"/>
    <w:rsid w:val="00F74236"/>
    <w:rsid w:val="00F7512C"/>
    <w:rsid w:val="00F75283"/>
    <w:rsid w:val="00F75C68"/>
    <w:rsid w:val="00F75DAF"/>
    <w:rsid w:val="00F7656A"/>
    <w:rsid w:val="00F77D9A"/>
    <w:rsid w:val="00F80B94"/>
    <w:rsid w:val="00F81FFE"/>
    <w:rsid w:val="00F8300F"/>
    <w:rsid w:val="00F83B8C"/>
    <w:rsid w:val="00F84B1E"/>
    <w:rsid w:val="00F84EA8"/>
    <w:rsid w:val="00F8632A"/>
    <w:rsid w:val="00F87C5F"/>
    <w:rsid w:val="00F90277"/>
    <w:rsid w:val="00F911DE"/>
    <w:rsid w:val="00F92FDD"/>
    <w:rsid w:val="00F93C12"/>
    <w:rsid w:val="00F95C52"/>
    <w:rsid w:val="00F95C7D"/>
    <w:rsid w:val="00F97C7D"/>
    <w:rsid w:val="00FA0C78"/>
    <w:rsid w:val="00FA1485"/>
    <w:rsid w:val="00FA538B"/>
    <w:rsid w:val="00FA68B2"/>
    <w:rsid w:val="00FA7548"/>
    <w:rsid w:val="00FA75AA"/>
    <w:rsid w:val="00FB3816"/>
    <w:rsid w:val="00FB521F"/>
    <w:rsid w:val="00FB6106"/>
    <w:rsid w:val="00FB6980"/>
    <w:rsid w:val="00FC03B9"/>
    <w:rsid w:val="00FC08D1"/>
    <w:rsid w:val="00FC0ABA"/>
    <w:rsid w:val="00FC0D9B"/>
    <w:rsid w:val="00FC0F6D"/>
    <w:rsid w:val="00FC1CE6"/>
    <w:rsid w:val="00FC3162"/>
    <w:rsid w:val="00FC6F30"/>
    <w:rsid w:val="00FC7920"/>
    <w:rsid w:val="00FD1A70"/>
    <w:rsid w:val="00FD27D0"/>
    <w:rsid w:val="00FD5FAA"/>
    <w:rsid w:val="00FD6542"/>
    <w:rsid w:val="00FE1BF1"/>
    <w:rsid w:val="00FE3E12"/>
    <w:rsid w:val="00FE5A4A"/>
    <w:rsid w:val="00FE6874"/>
    <w:rsid w:val="00FF0D49"/>
    <w:rsid w:val="00FF25EB"/>
    <w:rsid w:val="00FF5D9D"/>
    <w:rsid w:val="00FF5F1D"/>
    <w:rsid w:val="01B51EB8"/>
    <w:rsid w:val="04E00A6B"/>
    <w:rsid w:val="055C217B"/>
    <w:rsid w:val="06EA4C1D"/>
    <w:rsid w:val="0B4F0FFA"/>
    <w:rsid w:val="0DBC025A"/>
    <w:rsid w:val="0F1D6877"/>
    <w:rsid w:val="0F562675"/>
    <w:rsid w:val="1462765F"/>
    <w:rsid w:val="1543774D"/>
    <w:rsid w:val="174C65CA"/>
    <w:rsid w:val="19A611CB"/>
    <w:rsid w:val="1C4520F7"/>
    <w:rsid w:val="27AC30F2"/>
    <w:rsid w:val="32EA4A46"/>
    <w:rsid w:val="33280E59"/>
    <w:rsid w:val="3507040E"/>
    <w:rsid w:val="36941766"/>
    <w:rsid w:val="37B71C66"/>
    <w:rsid w:val="3C5C7DC0"/>
    <w:rsid w:val="3C9C742B"/>
    <w:rsid w:val="3F0D0D43"/>
    <w:rsid w:val="4054713B"/>
    <w:rsid w:val="44185032"/>
    <w:rsid w:val="48DF3E44"/>
    <w:rsid w:val="493D2B08"/>
    <w:rsid w:val="4B372D13"/>
    <w:rsid w:val="4B570ED2"/>
    <w:rsid w:val="4BBC648A"/>
    <w:rsid w:val="4D8344AD"/>
    <w:rsid w:val="4E046490"/>
    <w:rsid w:val="4E4A6183"/>
    <w:rsid w:val="503D0D98"/>
    <w:rsid w:val="51A820D2"/>
    <w:rsid w:val="51CA229B"/>
    <w:rsid w:val="53A43A2A"/>
    <w:rsid w:val="53AD454A"/>
    <w:rsid w:val="549B180B"/>
    <w:rsid w:val="56792002"/>
    <w:rsid w:val="570269A2"/>
    <w:rsid w:val="5AAF44E5"/>
    <w:rsid w:val="5D1A10C3"/>
    <w:rsid w:val="602E106E"/>
    <w:rsid w:val="666B7FCD"/>
    <w:rsid w:val="6C1B06CA"/>
    <w:rsid w:val="6EA25B89"/>
    <w:rsid w:val="701B73FE"/>
    <w:rsid w:val="71696324"/>
    <w:rsid w:val="73612D88"/>
    <w:rsid w:val="754A5B8F"/>
    <w:rsid w:val="7A754FB2"/>
    <w:rsid w:val="7C1313B9"/>
    <w:rsid w:val="7D500A09"/>
    <w:rsid w:val="7FEF5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C2E5C1"/>
  <w15:docId w15:val="{DCFDC31C-6502-1C49-A968-C4B7948D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TOC3">
    <w:name w:val="toc 3"/>
    <w:basedOn w:val="a"/>
    <w:next w:val="a"/>
    <w:uiPriority w:val="39"/>
    <w:unhideWhenUsed/>
    <w:qFormat/>
    <w:pPr>
      <w:ind w:left="84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10194"/>
      </w:tabs>
    </w:pPr>
  </w:style>
  <w:style w:type="paragraph" w:styleId="aa">
    <w:name w:val="table of figures"/>
    <w:basedOn w:val="a"/>
    <w:next w:val="a"/>
    <w:uiPriority w:val="99"/>
    <w:unhideWhenUsed/>
    <w:qFormat/>
    <w:pPr>
      <w:ind w:leftChars="200" w:left="200" w:hangingChars="200" w:hanging="200"/>
    </w:pPr>
  </w:style>
  <w:style w:type="paragraph" w:styleId="TOC2">
    <w:name w:val="toc 2"/>
    <w:basedOn w:val="a"/>
    <w:next w:val="a"/>
    <w:uiPriority w:val="39"/>
    <w:unhideWhenUsed/>
    <w:qFormat/>
    <w:pPr>
      <w:ind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rFonts w:eastAsia="仿宋_GB2312"/>
      <w:b/>
      <w:bCs/>
      <w:color w:val="1F3864" w:themeColor="accent1" w:themeShade="80"/>
      <w:sz w:val="36"/>
      <w:lang w:eastAsia="zh-CN"/>
    </w:rPr>
  </w:style>
  <w:style w:type="character" w:styleId="ae">
    <w:name w:val="Hyperlink"/>
    <w:basedOn w:val="a0"/>
    <w:uiPriority w:val="99"/>
    <w:unhideWhenUsed/>
    <w:qFormat/>
    <w:rPr>
      <w:color w:val="0563C1" w:themeColor="hyperlink"/>
      <w:u w:val="single"/>
    </w:rPr>
  </w:style>
  <w:style w:type="paragraph" w:styleId="af">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table" w:customStyle="1" w:styleId="5-21">
    <w:name w:val="网格表 5 深色 - 着色 2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customStyle="1" w:styleId="-11">
    <w:name w:val="浅色底纹 - 强调文字颜色 11"/>
    <w:basedOn w:val="a1"/>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7-31">
    <w:name w:val="网格表 7 彩色 - 着色 31"/>
    <w:basedOn w:val="a1"/>
    <w:uiPriority w:val="52"/>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31">
    <w:name w:val="网格表 3 - 着色 31"/>
    <w:basedOn w:val="a1"/>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
    <w:name w:val="首创主标题-研报封面"/>
    <w:basedOn w:val="a"/>
    <w:qFormat/>
    <w:rPr>
      <w:rFonts w:ascii="黑体" w:eastAsia="黑体" w:hAnsi="黑体"/>
      <w:sz w:val="30"/>
      <w:szCs w:val="30"/>
    </w:rPr>
  </w:style>
  <w:style w:type="paragraph" w:customStyle="1" w:styleId="-0">
    <w:name w:val="首创副标题-研报封面"/>
    <w:basedOn w:val="a"/>
    <w:qFormat/>
    <w:rPr>
      <w:rFonts w:ascii="黑体" w:eastAsia="黑体" w:hAnsi="黑体"/>
      <w:sz w:val="24"/>
      <w:szCs w:val="24"/>
    </w:rPr>
  </w:style>
  <w:style w:type="paragraph" w:customStyle="1" w:styleId="12">
    <w:name w:val="首创1级标题"/>
    <w:basedOn w:val="1"/>
    <w:qFormat/>
    <w:pPr>
      <w:spacing w:before="120" w:after="120" w:line="240" w:lineRule="auto"/>
      <w:ind w:firstLine="2268"/>
    </w:pPr>
    <w:rPr>
      <w:rFonts w:ascii="黑体" w:eastAsia="黑体" w:hAnsi="黑体"/>
      <w:sz w:val="36"/>
      <w:szCs w:val="36"/>
    </w:rPr>
  </w:style>
  <w:style w:type="paragraph" w:customStyle="1" w:styleId="af0">
    <w:name w:val="首创正文"/>
    <w:basedOn w:val="a"/>
    <w:qFormat/>
    <w:pPr>
      <w:spacing w:afterLines="50" w:after="120"/>
      <w:ind w:left="2268" w:firstLineChars="246" w:firstLine="590"/>
    </w:pPr>
    <w:rPr>
      <w:rFonts w:ascii="楷体" w:eastAsia="楷体" w:hAnsi="楷体" w:cs="Arial"/>
      <w:color w:val="333333"/>
      <w:sz w:val="24"/>
      <w:szCs w:val="24"/>
      <w:shd w:val="clear" w:color="auto" w:fill="FFFFFF"/>
    </w:rPr>
  </w:style>
  <w:style w:type="paragraph" w:customStyle="1" w:styleId="21">
    <w:name w:val="首创2级标题"/>
    <w:basedOn w:val="2"/>
    <w:qFormat/>
    <w:pPr>
      <w:tabs>
        <w:tab w:val="left" w:pos="4839"/>
      </w:tabs>
      <w:spacing w:before="120" w:after="120" w:line="240" w:lineRule="auto"/>
      <w:ind w:left="2268"/>
    </w:pPr>
    <w:rPr>
      <w:rFonts w:ascii="黑体" w:eastAsia="黑体" w:hAnsi="黑体"/>
      <w:sz w:val="30"/>
      <w:szCs w:val="30"/>
    </w:rPr>
  </w:style>
  <w:style w:type="paragraph" w:customStyle="1" w:styleId="31">
    <w:name w:val="首创3级标题"/>
    <w:basedOn w:val="3"/>
    <w:qFormat/>
    <w:pPr>
      <w:spacing w:before="120" w:after="120" w:line="240" w:lineRule="auto"/>
      <w:ind w:left="2268"/>
    </w:pPr>
    <w:rPr>
      <w:rFonts w:ascii="黑体" w:eastAsia="黑体" w:hAnsi="黑体"/>
      <w:sz w:val="28"/>
      <w:szCs w:val="28"/>
    </w:rPr>
  </w:style>
  <w:style w:type="paragraph" w:customStyle="1" w:styleId="-1">
    <w:name w:val="首创-图标标题"/>
    <w:basedOn w:val="a3"/>
    <w:qFormat/>
    <w:pPr>
      <w:keepNext/>
    </w:pPr>
    <w:rPr>
      <w:sz w:val="21"/>
      <w:szCs w:val="21"/>
    </w:rPr>
  </w:style>
  <w:style w:type="character" w:customStyle="1" w:styleId="a5">
    <w:name w:val="批注框文本 字符"/>
    <w:basedOn w:val="a0"/>
    <w:link w:val="a4"/>
    <w:uiPriority w:val="99"/>
    <w:semiHidden/>
    <w:qFormat/>
    <w:rPr>
      <w:sz w:val="18"/>
      <w:szCs w:val="18"/>
    </w:rPr>
  </w:style>
  <w:style w:type="table" w:customStyle="1" w:styleId="4-11">
    <w:name w:val="网格表 4 - 着色 11"/>
    <w:basedOn w:val="a1"/>
    <w:uiPriority w:val="49"/>
    <w:qFormat/>
    <w:tblPr>
      <w:tblBorders>
        <w:top w:val="single" w:sz="4" w:space="0" w:color="FF5562"/>
        <w:left w:val="single" w:sz="4" w:space="0" w:color="FF5562"/>
        <w:bottom w:val="single" w:sz="4" w:space="0" w:color="FF5562"/>
        <w:right w:val="single" w:sz="4" w:space="0" w:color="FF5562"/>
        <w:insideH w:val="single" w:sz="4" w:space="0" w:color="FF5562"/>
        <w:insideV w:val="single" w:sz="4" w:space="0" w:color="FF5562"/>
      </w:tblBorders>
    </w:tblPr>
    <w:tblStylePr w:type="firstRow">
      <w:rPr>
        <w:b/>
        <w:bCs/>
        <w:color w:val="FFFFFF"/>
      </w:rPr>
      <w:tblPr/>
      <w:tcPr>
        <w:tcBorders>
          <w:top w:val="single" w:sz="4" w:space="0" w:color="E40012"/>
          <w:left w:val="single" w:sz="4" w:space="0" w:color="E40012"/>
          <w:bottom w:val="single" w:sz="4" w:space="0" w:color="E40012"/>
          <w:right w:val="single" w:sz="4" w:space="0" w:color="E40012"/>
          <w:insideH w:val="nil"/>
          <w:insideV w:val="nil"/>
        </w:tcBorders>
        <w:shd w:val="clear" w:color="auto" w:fill="E40012"/>
      </w:tcPr>
    </w:tblStylePr>
    <w:tblStylePr w:type="lastRow">
      <w:rPr>
        <w:b/>
        <w:bCs/>
      </w:rPr>
      <w:tblPr/>
      <w:tcPr>
        <w:tcBorders>
          <w:top w:val="double" w:sz="4" w:space="0" w:color="E40012"/>
        </w:tcBorders>
      </w:tcPr>
    </w:tblStylePr>
    <w:tblStylePr w:type="firstCol">
      <w:rPr>
        <w:b/>
        <w:bCs/>
      </w:rPr>
    </w:tblStylePr>
    <w:tblStylePr w:type="lastCol">
      <w:rPr>
        <w:b/>
        <w:bCs/>
      </w:rPr>
    </w:tblStylePr>
    <w:tblStylePr w:type="band1Vert">
      <w:tblPr/>
      <w:tcPr>
        <w:shd w:val="clear" w:color="auto" w:fill="FFC6CA"/>
      </w:tcPr>
    </w:tblStylePr>
    <w:tblStylePr w:type="band1Horz">
      <w:tblPr/>
      <w:tcPr>
        <w:shd w:val="clear" w:color="auto" w:fill="FFC6CA"/>
      </w:tcPr>
    </w:tblStylePr>
  </w:style>
  <w:style w:type="table" w:customStyle="1" w:styleId="4-12">
    <w:name w:val="网格表 4 - 着色 12"/>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jh-p">
    <w:name w:val="bjh-p"/>
    <w:basedOn w:val="a0"/>
    <w:qFormat/>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3">
    <w:name w:val="列出段落1"/>
    <w:basedOn w:val="a"/>
    <w:uiPriority w:val="34"/>
    <w:qFormat/>
    <w:pPr>
      <w:ind w:firstLineChars="200" w:firstLine="420"/>
    </w:pPr>
  </w:style>
  <w:style w:type="table" w:customStyle="1" w:styleId="14">
    <w:name w:val="网格型1"/>
    <w:basedOn w:val="a1"/>
    <w:uiPriority w:val="59"/>
    <w:qFormat/>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741">
      <w:bodyDiv w:val="1"/>
      <w:marLeft w:val="0"/>
      <w:marRight w:val="0"/>
      <w:marTop w:val="0"/>
      <w:marBottom w:val="0"/>
      <w:divBdr>
        <w:top w:val="none" w:sz="0" w:space="0" w:color="auto"/>
        <w:left w:val="none" w:sz="0" w:space="0" w:color="auto"/>
        <w:bottom w:val="none" w:sz="0" w:space="0" w:color="auto"/>
        <w:right w:val="none" w:sz="0" w:space="0" w:color="auto"/>
      </w:divBdr>
    </w:div>
    <w:div w:id="249511749">
      <w:bodyDiv w:val="1"/>
      <w:marLeft w:val="0"/>
      <w:marRight w:val="0"/>
      <w:marTop w:val="0"/>
      <w:marBottom w:val="0"/>
      <w:divBdr>
        <w:top w:val="none" w:sz="0" w:space="0" w:color="auto"/>
        <w:left w:val="none" w:sz="0" w:space="0" w:color="auto"/>
        <w:bottom w:val="none" w:sz="0" w:space="0" w:color="auto"/>
        <w:right w:val="none" w:sz="0" w:space="0" w:color="auto"/>
      </w:divBdr>
    </w:div>
    <w:div w:id="518353232">
      <w:bodyDiv w:val="1"/>
      <w:marLeft w:val="0"/>
      <w:marRight w:val="0"/>
      <w:marTop w:val="0"/>
      <w:marBottom w:val="0"/>
      <w:divBdr>
        <w:top w:val="none" w:sz="0" w:space="0" w:color="auto"/>
        <w:left w:val="none" w:sz="0" w:space="0" w:color="auto"/>
        <w:bottom w:val="none" w:sz="0" w:space="0" w:color="auto"/>
        <w:right w:val="none" w:sz="0" w:space="0" w:color="auto"/>
      </w:divBdr>
    </w:div>
    <w:div w:id="610479977">
      <w:bodyDiv w:val="1"/>
      <w:marLeft w:val="0"/>
      <w:marRight w:val="0"/>
      <w:marTop w:val="0"/>
      <w:marBottom w:val="0"/>
      <w:divBdr>
        <w:top w:val="none" w:sz="0" w:space="0" w:color="auto"/>
        <w:left w:val="none" w:sz="0" w:space="0" w:color="auto"/>
        <w:bottom w:val="none" w:sz="0" w:space="0" w:color="auto"/>
        <w:right w:val="none" w:sz="0" w:space="0" w:color="auto"/>
      </w:divBdr>
    </w:div>
    <w:div w:id="692538761">
      <w:bodyDiv w:val="1"/>
      <w:marLeft w:val="0"/>
      <w:marRight w:val="0"/>
      <w:marTop w:val="0"/>
      <w:marBottom w:val="0"/>
      <w:divBdr>
        <w:top w:val="none" w:sz="0" w:space="0" w:color="auto"/>
        <w:left w:val="none" w:sz="0" w:space="0" w:color="auto"/>
        <w:bottom w:val="none" w:sz="0" w:space="0" w:color="auto"/>
        <w:right w:val="none" w:sz="0" w:space="0" w:color="auto"/>
      </w:divBdr>
    </w:div>
    <w:div w:id="832915312">
      <w:bodyDiv w:val="1"/>
      <w:marLeft w:val="0"/>
      <w:marRight w:val="0"/>
      <w:marTop w:val="0"/>
      <w:marBottom w:val="0"/>
      <w:divBdr>
        <w:top w:val="none" w:sz="0" w:space="0" w:color="auto"/>
        <w:left w:val="none" w:sz="0" w:space="0" w:color="auto"/>
        <w:bottom w:val="none" w:sz="0" w:space="0" w:color="auto"/>
        <w:right w:val="none" w:sz="0" w:space="0" w:color="auto"/>
      </w:divBdr>
    </w:div>
    <w:div w:id="1001815048">
      <w:bodyDiv w:val="1"/>
      <w:marLeft w:val="0"/>
      <w:marRight w:val="0"/>
      <w:marTop w:val="0"/>
      <w:marBottom w:val="0"/>
      <w:divBdr>
        <w:top w:val="none" w:sz="0" w:space="0" w:color="auto"/>
        <w:left w:val="none" w:sz="0" w:space="0" w:color="auto"/>
        <w:bottom w:val="none" w:sz="0" w:space="0" w:color="auto"/>
        <w:right w:val="none" w:sz="0" w:space="0" w:color="auto"/>
      </w:divBdr>
    </w:div>
    <w:div w:id="1517888209">
      <w:bodyDiv w:val="1"/>
      <w:marLeft w:val="0"/>
      <w:marRight w:val="0"/>
      <w:marTop w:val="0"/>
      <w:marBottom w:val="0"/>
      <w:divBdr>
        <w:top w:val="none" w:sz="0" w:space="0" w:color="auto"/>
        <w:left w:val="none" w:sz="0" w:space="0" w:color="auto"/>
        <w:bottom w:val="none" w:sz="0" w:space="0" w:color="auto"/>
        <w:right w:val="none" w:sz="0" w:space="0" w:color="auto"/>
      </w:divBdr>
    </w:div>
    <w:div w:id="1558856925">
      <w:bodyDiv w:val="1"/>
      <w:marLeft w:val="0"/>
      <w:marRight w:val="0"/>
      <w:marTop w:val="0"/>
      <w:marBottom w:val="0"/>
      <w:divBdr>
        <w:top w:val="none" w:sz="0" w:space="0" w:color="auto"/>
        <w:left w:val="none" w:sz="0" w:space="0" w:color="auto"/>
        <w:bottom w:val="none" w:sz="0" w:space="0" w:color="auto"/>
        <w:right w:val="none" w:sz="0" w:space="0" w:color="auto"/>
      </w:divBdr>
    </w:div>
    <w:div w:id="1589461081">
      <w:bodyDiv w:val="1"/>
      <w:marLeft w:val="0"/>
      <w:marRight w:val="0"/>
      <w:marTop w:val="0"/>
      <w:marBottom w:val="0"/>
      <w:divBdr>
        <w:top w:val="none" w:sz="0" w:space="0" w:color="auto"/>
        <w:left w:val="none" w:sz="0" w:space="0" w:color="auto"/>
        <w:bottom w:val="none" w:sz="0" w:space="0" w:color="auto"/>
        <w:right w:val="none" w:sz="0" w:space="0" w:color="auto"/>
      </w:divBdr>
    </w:div>
    <w:div w:id="17638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9A7CF-9909-4F81-BE6A-642A2633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1570</Words>
  <Characters>8955</Characters>
  <Application>Microsoft Office Word</Application>
  <DocSecurity>0</DocSecurity>
  <Lines>74</Lines>
  <Paragraphs>21</Paragraphs>
  <ScaleCrop>false</ScaleCrop>
  <Company>Microsoft</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赵光</dc:creator>
  <cp:lastModifiedBy>Mengxue Zhao</cp:lastModifiedBy>
  <cp:revision>2</cp:revision>
  <cp:lastPrinted>2021-09-23T19:22:00Z</cp:lastPrinted>
  <dcterms:created xsi:type="dcterms:W3CDTF">2021-11-14T16:12:00Z</dcterms:created>
  <dcterms:modified xsi:type="dcterms:W3CDTF">2021-11-14T16:12:00Z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nkdocver">
    <vt:lpwstr>1</vt:lpwstr>
  </property>
  <property fmtid="{D5CDD505-2E9C-101B-9397-08002B2CF9AE}" pid="3" name="snkdocid">
    <vt:lpwstr>18</vt:lpwstr>
  </property>
  <property fmtid="{D5CDD505-2E9C-101B-9397-08002B2CF9AE}" pid="4" name="WSURL">
    <vt:lpwstr>https://research.sczq.com.cn/</vt:lpwstr>
  </property>
  <property fmtid="{D5CDD505-2E9C-101B-9397-08002B2CF9AE}" pid="5" name="doctypeid">
    <vt:lpwstr>15</vt:lpwstr>
  </property>
  <property fmtid="{D5CDD505-2E9C-101B-9397-08002B2CF9AE}" pid="6" name="doctypename">
    <vt:lpwstr>晨会纪要</vt:lpwstr>
  </property>
  <property fmtid="{D5CDD505-2E9C-101B-9397-08002B2CF9AE}" pid="7" name="templateid">
    <vt:lpwstr>18</vt:lpwstr>
  </property>
  <property fmtid="{D5CDD505-2E9C-101B-9397-08002B2CF9AE}" pid="8" name="templatetype">
    <vt:lpwstr>1014</vt:lpwstr>
  </property>
  <property fmtid="{D5CDD505-2E9C-101B-9397-08002B2CF9AE}" pid="9" name="loadTime">
    <vt:lpwstr>20201215141224</vt:lpwstr>
  </property>
  <property fmtid="{D5CDD505-2E9C-101B-9397-08002B2CF9AE}" pid="10" name="KSOProductBuildVer">
    <vt:lpwstr>2052-11.8.2.8875</vt:lpwstr>
  </property>
</Properties>
</file>