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5A5B7E0" w14:textId="77777777" w:rsidR="002D3EC1" w:rsidRDefault="002D3EC1" w:rsidP="002D3EC1">
      <w:pPr>
        <w:spacing w:line="276" w:lineRule="auto"/>
        <w:outlineLvl w:val="1"/>
        <w:rPr>
          <w:rFonts w:eastAsia="楷体_GB2312"/>
          <w:b/>
          <w:sz w:val="37"/>
          <w:szCs w:val="21"/>
        </w:rPr>
      </w:pPr>
      <w:bookmarkStart w:id="0" w:name="_Toc276975703"/>
      <w:r>
        <w:rPr>
          <w:rFonts w:eastAsia="楷体_GB2312" w:hint="eastAsia"/>
          <w:b/>
          <w:sz w:val="37"/>
          <w:szCs w:val="21"/>
        </w:rPr>
        <w:t xml:space="preserve">    </w:t>
      </w:r>
      <w:r>
        <w:rPr>
          <w:rFonts w:eastAsia="楷体_GB2312" w:hint="eastAsia"/>
          <w:b/>
          <w:sz w:val="37"/>
          <w:szCs w:val="21"/>
        </w:rPr>
        <w:t>首创证券有限责任公司融资融券业务合同</w:t>
      </w:r>
      <w:bookmarkEnd w:id="0"/>
    </w:p>
    <w:p w14:paraId="518BF3ED" w14:textId="77777777" w:rsidR="002D3EC1" w:rsidRDefault="002D3EC1" w:rsidP="002D3EC1">
      <w:pPr>
        <w:spacing w:line="276" w:lineRule="auto"/>
        <w:ind w:firstLineChars="200" w:firstLine="420"/>
        <w:jc w:val="center"/>
        <w:rPr>
          <w:rFonts w:eastAsia="楷体_GB2312"/>
          <w:szCs w:val="21"/>
        </w:rPr>
      </w:pPr>
    </w:p>
    <w:p w14:paraId="0119A5FD" w14:textId="77777777" w:rsidR="002D3EC1" w:rsidRDefault="002D3EC1" w:rsidP="002D3EC1">
      <w:pPr>
        <w:spacing w:line="276" w:lineRule="auto"/>
        <w:rPr>
          <w:rFonts w:eastAsia="楷体_GB2312"/>
          <w:sz w:val="23"/>
          <w:szCs w:val="21"/>
        </w:rPr>
      </w:pPr>
      <w:r>
        <w:rPr>
          <w:rFonts w:eastAsia="楷体_GB2312" w:hint="eastAsia"/>
          <w:sz w:val="23"/>
          <w:szCs w:val="21"/>
        </w:rPr>
        <w:t>合同编号：</w:t>
      </w:r>
      <w:r>
        <w:rPr>
          <w:rFonts w:eastAsia="楷体_GB2312" w:hint="eastAsia"/>
          <w:sz w:val="29"/>
          <w:szCs w:val="21"/>
        </w:rPr>
        <w:t>□□□□□□□□</w:t>
      </w:r>
    </w:p>
    <w:p w14:paraId="50019B0C" w14:textId="77777777" w:rsidR="002D3EC1" w:rsidRDefault="002D3EC1" w:rsidP="002D3EC1">
      <w:pPr>
        <w:tabs>
          <w:tab w:val="left" w:pos="2880"/>
          <w:tab w:val="left" w:pos="3960"/>
        </w:tabs>
        <w:adjustRightInd w:val="0"/>
        <w:snapToGrid w:val="0"/>
        <w:spacing w:line="276" w:lineRule="auto"/>
        <w:rPr>
          <w:rFonts w:eastAsia="楷体_GB2312"/>
          <w:sz w:val="23"/>
          <w:szCs w:val="21"/>
        </w:rPr>
      </w:pPr>
    </w:p>
    <w:p w14:paraId="68A607C8" w14:textId="77777777" w:rsidR="002D3EC1" w:rsidRDefault="002D3EC1" w:rsidP="002D3EC1">
      <w:pPr>
        <w:spacing w:line="276" w:lineRule="auto"/>
        <w:rPr>
          <w:rFonts w:eastAsia="楷体_GB2312"/>
          <w:sz w:val="23"/>
          <w:szCs w:val="21"/>
        </w:rPr>
      </w:pPr>
      <w:r>
        <w:rPr>
          <w:rFonts w:eastAsia="楷体_GB2312" w:hint="eastAsia"/>
          <w:sz w:val="23"/>
          <w:szCs w:val="21"/>
        </w:rPr>
        <w:t>甲方：本合同签署页规定的投资者</w:t>
      </w:r>
    </w:p>
    <w:p w14:paraId="44856297" w14:textId="77777777" w:rsidR="002D3EC1" w:rsidRDefault="002D3EC1" w:rsidP="002D3EC1">
      <w:pPr>
        <w:adjustRightInd w:val="0"/>
        <w:snapToGrid w:val="0"/>
        <w:spacing w:line="276" w:lineRule="auto"/>
        <w:rPr>
          <w:rFonts w:eastAsia="楷体_GB2312"/>
          <w:sz w:val="23"/>
          <w:szCs w:val="21"/>
        </w:rPr>
      </w:pPr>
    </w:p>
    <w:p w14:paraId="4C241A04" w14:textId="77777777" w:rsidR="002D3EC1" w:rsidRDefault="002D3EC1" w:rsidP="002D3EC1">
      <w:pPr>
        <w:adjustRightInd w:val="0"/>
        <w:snapToGrid w:val="0"/>
        <w:spacing w:line="276" w:lineRule="auto"/>
        <w:rPr>
          <w:rFonts w:eastAsia="楷体_GB2312"/>
          <w:sz w:val="23"/>
          <w:szCs w:val="21"/>
        </w:rPr>
      </w:pPr>
      <w:r>
        <w:rPr>
          <w:rFonts w:eastAsia="楷体_GB2312" w:hint="eastAsia"/>
          <w:sz w:val="23"/>
          <w:szCs w:val="21"/>
        </w:rPr>
        <w:t>乙方：首创证券有限责任公司</w:t>
      </w:r>
    </w:p>
    <w:p w14:paraId="2006D928" w14:textId="77777777" w:rsidR="002D3EC1" w:rsidRDefault="002D3EC1" w:rsidP="002D3EC1">
      <w:pPr>
        <w:adjustRightInd w:val="0"/>
        <w:snapToGrid w:val="0"/>
        <w:spacing w:line="276" w:lineRule="auto"/>
        <w:rPr>
          <w:rFonts w:eastAsia="楷体_GB2312"/>
          <w:sz w:val="23"/>
          <w:szCs w:val="21"/>
        </w:rPr>
      </w:pPr>
      <w:r>
        <w:rPr>
          <w:rFonts w:eastAsia="楷体_GB2312" w:hint="eastAsia"/>
          <w:sz w:val="23"/>
          <w:szCs w:val="21"/>
        </w:rPr>
        <w:t>法定代表人：吴涛</w:t>
      </w:r>
    </w:p>
    <w:p w14:paraId="41C594DE" w14:textId="77777777" w:rsidR="002D3EC1" w:rsidRDefault="002D3EC1" w:rsidP="002D3EC1">
      <w:pPr>
        <w:adjustRightInd w:val="0"/>
        <w:snapToGrid w:val="0"/>
        <w:spacing w:line="276" w:lineRule="auto"/>
        <w:rPr>
          <w:rFonts w:eastAsia="楷体_GB2312"/>
          <w:sz w:val="23"/>
          <w:szCs w:val="21"/>
        </w:rPr>
      </w:pPr>
      <w:r>
        <w:rPr>
          <w:rFonts w:eastAsia="楷体_GB2312" w:hint="eastAsia"/>
          <w:sz w:val="23"/>
          <w:szCs w:val="21"/>
        </w:rPr>
        <w:t>住所：</w:t>
      </w:r>
      <w:r>
        <w:rPr>
          <w:rFonts w:eastAsia="楷体_GB2312" w:cs="Arial" w:hint="eastAsia"/>
          <w:sz w:val="23"/>
          <w:szCs w:val="21"/>
        </w:rPr>
        <w:t>北京市西城区德胜门外大街</w:t>
      </w:r>
      <w:r>
        <w:rPr>
          <w:rFonts w:eastAsia="楷体_GB2312" w:cs="Arial" w:hint="eastAsia"/>
          <w:sz w:val="23"/>
          <w:szCs w:val="21"/>
        </w:rPr>
        <w:t>115</w:t>
      </w:r>
      <w:r>
        <w:rPr>
          <w:rFonts w:eastAsia="楷体_GB2312" w:cs="Arial" w:hint="eastAsia"/>
          <w:sz w:val="23"/>
          <w:szCs w:val="21"/>
        </w:rPr>
        <w:t>号</w:t>
      </w:r>
      <w:r>
        <w:rPr>
          <w:rFonts w:eastAsia="楷体_GB2312" w:cs="Arial" w:hint="eastAsia"/>
          <w:sz w:val="23"/>
          <w:szCs w:val="21"/>
        </w:rPr>
        <w:t>E</w:t>
      </w:r>
      <w:r>
        <w:rPr>
          <w:rFonts w:eastAsia="楷体_GB2312" w:cs="Arial" w:hint="eastAsia"/>
          <w:sz w:val="23"/>
          <w:szCs w:val="21"/>
        </w:rPr>
        <w:t>座</w:t>
      </w:r>
    </w:p>
    <w:p w14:paraId="53ECF179" w14:textId="77777777" w:rsidR="002D3EC1" w:rsidRDefault="002D3EC1" w:rsidP="002D3EC1">
      <w:pPr>
        <w:adjustRightInd w:val="0"/>
        <w:snapToGrid w:val="0"/>
        <w:spacing w:line="276" w:lineRule="auto"/>
        <w:rPr>
          <w:rFonts w:eastAsia="楷体_GB2312"/>
          <w:sz w:val="23"/>
          <w:szCs w:val="21"/>
        </w:rPr>
      </w:pPr>
      <w:r>
        <w:rPr>
          <w:rFonts w:eastAsia="楷体_GB2312" w:hint="eastAsia"/>
          <w:sz w:val="23"/>
          <w:szCs w:val="21"/>
        </w:rPr>
        <w:t>邮政编码：</w:t>
      </w:r>
      <w:r>
        <w:rPr>
          <w:rFonts w:eastAsia="楷体_GB2312"/>
          <w:sz w:val="23"/>
          <w:szCs w:val="21"/>
        </w:rPr>
        <w:t>1000</w:t>
      </w:r>
      <w:r>
        <w:rPr>
          <w:rFonts w:eastAsia="楷体_GB2312" w:hint="eastAsia"/>
          <w:sz w:val="23"/>
          <w:szCs w:val="21"/>
        </w:rPr>
        <w:t>88</w:t>
      </w:r>
    </w:p>
    <w:p w14:paraId="43F88D38" w14:textId="77777777" w:rsidR="002D3EC1" w:rsidRDefault="002D3EC1" w:rsidP="002D3EC1">
      <w:pPr>
        <w:adjustRightInd w:val="0"/>
        <w:snapToGrid w:val="0"/>
        <w:spacing w:line="276" w:lineRule="auto"/>
        <w:rPr>
          <w:rFonts w:eastAsia="楷体_GB2312"/>
          <w:sz w:val="23"/>
          <w:szCs w:val="21"/>
        </w:rPr>
      </w:pPr>
      <w:r>
        <w:rPr>
          <w:rFonts w:eastAsia="楷体_GB2312" w:hint="eastAsia"/>
          <w:sz w:val="23"/>
          <w:szCs w:val="21"/>
        </w:rPr>
        <w:t>联系电话：</w:t>
      </w:r>
      <w:r>
        <w:rPr>
          <w:rFonts w:eastAsia="楷体_GB2312"/>
          <w:sz w:val="23"/>
          <w:szCs w:val="21"/>
        </w:rPr>
        <w:t>4006200620</w:t>
      </w:r>
    </w:p>
    <w:p w14:paraId="314E6427" w14:textId="77777777" w:rsidR="002D3EC1" w:rsidRDefault="002D3EC1" w:rsidP="002D3EC1">
      <w:pPr>
        <w:spacing w:line="276" w:lineRule="auto"/>
        <w:ind w:firstLineChars="200" w:firstLine="420"/>
        <w:rPr>
          <w:rFonts w:eastAsia="楷体_GB2312"/>
          <w:szCs w:val="21"/>
        </w:rPr>
      </w:pPr>
    </w:p>
    <w:p w14:paraId="2764F899" w14:textId="77777777" w:rsidR="002D3EC1" w:rsidRDefault="002D3EC1" w:rsidP="002D3EC1">
      <w:pPr>
        <w:spacing w:line="276" w:lineRule="auto"/>
        <w:ind w:firstLineChars="200" w:firstLine="420"/>
        <w:rPr>
          <w:rFonts w:eastAsia="楷体_GB2312"/>
          <w:szCs w:val="21"/>
        </w:rPr>
      </w:pPr>
      <w:r>
        <w:rPr>
          <w:rFonts w:eastAsia="楷体_GB2312" w:hint="eastAsia"/>
          <w:szCs w:val="21"/>
        </w:rPr>
        <w:t>依据《中华人民共和国证券法》、《中华人民共和国合同法》、《中国人民共和国信托法》、《证券公司监督管理条例》、《证券公司融资融券业务管理办法》、《证券公司融资融券业务内部控制指引》、《上海证券交易所融资融券交易实施细则》、《深圳证券交易所融资融券实施细则》、《深圳证券交易所融资融券交易会员业务指南》和《中国证券登记结算有限责任公司融资融券登记结算业务实施细则》等规定，甲乙双方在平等自愿、诚实信用的基础上，就乙方为甲方提供融资融券服务的相关事宜，达成如下合同，供双方共同遵守。</w:t>
      </w:r>
    </w:p>
    <w:p w14:paraId="67A1C38C" w14:textId="77777777" w:rsidR="002D3EC1" w:rsidRDefault="002D3EC1" w:rsidP="002D3EC1">
      <w:pPr>
        <w:numPr>
          <w:ilvl w:val="0"/>
          <w:numId w:val="1"/>
        </w:numPr>
        <w:spacing w:line="276" w:lineRule="auto"/>
        <w:ind w:left="0" w:firstLine="0"/>
        <w:jc w:val="center"/>
        <w:outlineLvl w:val="2"/>
        <w:rPr>
          <w:rFonts w:eastAsia="楷体_GB2312"/>
          <w:b/>
          <w:sz w:val="25"/>
          <w:szCs w:val="21"/>
        </w:rPr>
      </w:pPr>
      <w:bookmarkStart w:id="1" w:name="_Ref271786240"/>
      <w:r>
        <w:rPr>
          <w:rFonts w:eastAsia="楷体_GB2312" w:hint="eastAsia"/>
          <w:b/>
          <w:sz w:val="25"/>
          <w:szCs w:val="21"/>
        </w:rPr>
        <w:t>释义</w:t>
      </w:r>
      <w:bookmarkEnd w:id="1"/>
    </w:p>
    <w:p w14:paraId="43D7B404"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除非本合同另有解释或说明，下列词语或简称具有如下含义：</w:t>
      </w:r>
    </w:p>
    <w:p w14:paraId="4521D558"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融资融券业务：指乙方向甲方出借资金供甲方买入上市证券或者出借上市证券供甲方卖出，并收取担保物的经营活动。</w:t>
      </w:r>
    </w:p>
    <w:p w14:paraId="3E026D48"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融资交易：指甲方以其信用账户中的资金和证券为担保，向乙方申请融入资金并买入标的证券的行为。</w:t>
      </w:r>
    </w:p>
    <w:p w14:paraId="7E27349A"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融券交易：指甲方以其信用账户中的资金和证券为担保，向乙方申请融入标的证券并卖出的行为。</w:t>
      </w:r>
    </w:p>
    <w:p w14:paraId="4119E2CB"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信用证券账户：指甲方在乙方处开立的，用于记载甲方委托乙方持有的担保证券明细数据的实名证券账户，该账户是乙方“客户信用交易担保证券账户”的二级账户。</w:t>
      </w:r>
    </w:p>
    <w:p w14:paraId="191E607D"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信用资金账户：指甲方在商业银行开立的实名资金账户，用于记载甲方交存的担保资金的明细数据，该账户是乙方“客户信用交易担保资金账户”的二级账户。</w:t>
      </w:r>
    </w:p>
    <w:p w14:paraId="3D684D9D"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信用账户：又称授信账户，信用证券账户与信用资金账户统称为信用账户。</w:t>
      </w:r>
    </w:p>
    <w:p w14:paraId="65764E55"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客户信用交易担保证券账户：又称客户证券担保账户，指乙方以自己的名义，在证券登记结算机构开立的证券账户，该账户用于记录甲方委托乙方持有、担保乙方因向甲方融资融券所生债权的证券。</w:t>
      </w:r>
    </w:p>
    <w:p w14:paraId="06A80BF8"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客户信用交易担保资金账户：又称客户资金担保账户，指乙方以自己的名义，在商业银行开立的资金账户，该账户用于存放甲方交存的、担保乙方因向甲方融资融券所生债权的资金。</w:t>
      </w:r>
    </w:p>
    <w:p w14:paraId="77DFCA95"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lastRenderedPageBreak/>
        <w:t>普通账户：分为普通证券账户和普通资金账户，指甲方为进行非信用的普通证券交易，在乙方开立的证券账户和资金账户。</w:t>
      </w:r>
    </w:p>
    <w:p w14:paraId="5F6BBDBF"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担保物：指甲方提供的，用于担保其对乙方所负融资融券债务的资产，包括甲方提交的保证金（含充抵保证金的证券，下同）、融资买入的全部证券和融券卖出所得的全部资金及上述资金、证券所产生的孳息等。</w:t>
      </w:r>
    </w:p>
    <w:p w14:paraId="435B3FE6"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担保物价值：指甲方信用账户中资金与证券市值的总和。</w:t>
      </w:r>
    </w:p>
    <w:p w14:paraId="1EAF2988"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标的证券：指甲方融资可买入的证券及乙方可对甲方融出的证券，以乙方不时确定并公布的融资买入标的证券名单和融券卖出标的证券名单为准。</w:t>
      </w:r>
    </w:p>
    <w:p w14:paraId="40D90B1E"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保证金：甲方向乙方申请融资或融券，应当向乙方提交一定比例的保证金，保证金可以证券充抵。可充抵保证金证券名单以乙方不时确定并公布为准。</w:t>
      </w:r>
    </w:p>
    <w:p w14:paraId="618C4707"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可充抵保证金证券折算率：指在计算保证金金额时，甲方提交的作为充抵保证金的证券按其证券市值折算为保证金的比率。</w:t>
      </w:r>
    </w:p>
    <w:p w14:paraId="5D8DBC2C"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保证金比例：指甲方融资买入证券或融券卖出证券时交存保证金与融资金额或融券金额的比例。保证金比例分为融资保证金比例和融券保证金比例。</w:t>
      </w:r>
    </w:p>
    <w:p w14:paraId="2178BBA7"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融资保证金比例：指甲方融资买入时交付的保证金与融资交易金额的比例。</w:t>
      </w:r>
    </w:p>
    <w:p w14:paraId="2FC3BD13" w14:textId="77777777" w:rsidR="002D3EC1" w:rsidRDefault="002D3EC1" w:rsidP="002D3EC1">
      <w:pPr>
        <w:spacing w:line="276" w:lineRule="auto"/>
        <w:ind w:firstLineChars="200" w:firstLine="420"/>
        <w:rPr>
          <w:rFonts w:eastAsia="楷体_GB2312"/>
          <w:szCs w:val="21"/>
        </w:rPr>
      </w:pPr>
      <w:r>
        <w:rPr>
          <w:rFonts w:eastAsia="楷体_GB2312" w:hint="eastAsia"/>
          <w:szCs w:val="21"/>
        </w:rPr>
        <w:t>其计算公式为：融资保证金比例＝保证金</w:t>
      </w:r>
      <w:r>
        <w:rPr>
          <w:rFonts w:eastAsia="楷体_GB2312"/>
          <w:szCs w:val="21"/>
        </w:rPr>
        <w:t>/</w:t>
      </w:r>
      <w:r>
        <w:rPr>
          <w:rFonts w:eastAsia="楷体_GB2312" w:hint="eastAsia"/>
          <w:szCs w:val="21"/>
        </w:rPr>
        <w:t>（融资买入证券数量×买入价格）×</w:t>
      </w:r>
      <w:r>
        <w:rPr>
          <w:rFonts w:eastAsia="楷体_GB2312"/>
          <w:szCs w:val="21"/>
        </w:rPr>
        <w:t>100%</w:t>
      </w:r>
    </w:p>
    <w:p w14:paraId="03395FB7"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融券保证金比例：指甲方融券卖出时交付的保证金与融券交易金额的比例。</w:t>
      </w:r>
    </w:p>
    <w:p w14:paraId="4B19B2D7" w14:textId="77777777" w:rsidR="002D3EC1" w:rsidRDefault="002D3EC1" w:rsidP="002D3EC1">
      <w:pPr>
        <w:spacing w:line="276" w:lineRule="auto"/>
        <w:ind w:firstLineChars="200" w:firstLine="420"/>
        <w:rPr>
          <w:rFonts w:eastAsia="楷体_GB2312"/>
          <w:szCs w:val="21"/>
        </w:rPr>
      </w:pPr>
      <w:r>
        <w:rPr>
          <w:rFonts w:eastAsia="楷体_GB2312" w:hint="eastAsia"/>
          <w:szCs w:val="21"/>
        </w:rPr>
        <w:t>其计算公式为：融券保证金比例＝保证金</w:t>
      </w:r>
      <w:r>
        <w:rPr>
          <w:rFonts w:eastAsia="楷体_GB2312"/>
          <w:szCs w:val="21"/>
        </w:rPr>
        <w:t>/</w:t>
      </w:r>
      <w:r>
        <w:rPr>
          <w:rFonts w:eastAsia="楷体_GB2312" w:hint="eastAsia"/>
          <w:szCs w:val="21"/>
        </w:rPr>
        <w:t>（融券卖出证券数量×卖出价格）×</w:t>
      </w:r>
      <w:r>
        <w:rPr>
          <w:rFonts w:eastAsia="楷体_GB2312"/>
          <w:szCs w:val="21"/>
        </w:rPr>
        <w:t>100%</w:t>
      </w:r>
    </w:p>
    <w:p w14:paraId="33EEC743"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保证金可用余额：指甲方用于充抵保证金的现金、证券市值及融资融券交易产生的浮盈经折算后形成的保证金总额，减去甲方未了结融资融券交易已占用保证金和相关利息、费用的余额。其计算公式为：</w:t>
      </w:r>
    </w:p>
    <w:p w14:paraId="6A5F280F" w14:textId="77777777" w:rsidR="002D3EC1" w:rsidRDefault="002D3EC1" w:rsidP="002D3EC1">
      <w:pPr>
        <w:spacing w:line="276" w:lineRule="auto"/>
        <w:ind w:firstLineChars="200" w:firstLine="420"/>
        <w:rPr>
          <w:rFonts w:eastAsia="楷体_GB2312"/>
          <w:szCs w:val="21"/>
        </w:rPr>
      </w:pPr>
      <w:r w:rsidRPr="001B0197">
        <w:rPr>
          <w:rFonts w:eastAsia="楷体_GB2312" w:hint="eastAsia"/>
          <w:szCs w:val="21"/>
        </w:rPr>
        <w:t>保证金可用余额＝现金</w:t>
      </w:r>
      <w:r w:rsidRPr="001B0197">
        <w:rPr>
          <w:rFonts w:eastAsia="楷体_GB2312"/>
          <w:szCs w:val="21"/>
        </w:rPr>
        <w:t>+</w:t>
      </w:r>
      <w:r w:rsidRPr="001B0197">
        <w:rPr>
          <w:rFonts w:eastAsia="楷体_GB2312" w:hint="eastAsia"/>
          <w:szCs w:val="21"/>
        </w:rPr>
        <w:t>∑（充抵保证金的证券市值×折算率）</w:t>
      </w:r>
      <w:r w:rsidRPr="001B0197">
        <w:rPr>
          <w:rFonts w:eastAsia="楷体_GB2312"/>
          <w:szCs w:val="21"/>
        </w:rPr>
        <w:t>+</w:t>
      </w:r>
      <w:r w:rsidRPr="001B0197">
        <w:rPr>
          <w:rFonts w:eastAsia="楷体_GB2312" w:hint="eastAsia"/>
          <w:szCs w:val="21"/>
        </w:rPr>
        <w:t>∑［（融资买入证券市值－融资买入金额）×折算率］＋∑［（融券卖出金额－融券卖出证券市值）×折算率］－∑融券卖出金额－∑融资买入证券金额×融资保证金比例－∑融券卖出证券市值×融券保证金比例－利息及费用</w:t>
      </w:r>
    </w:p>
    <w:p w14:paraId="5F90B5AB" w14:textId="77777777" w:rsidR="002D3EC1" w:rsidRDefault="002D3EC1" w:rsidP="002D3EC1">
      <w:pPr>
        <w:spacing w:line="276" w:lineRule="auto"/>
        <w:ind w:firstLineChars="200" w:firstLine="420"/>
        <w:rPr>
          <w:rFonts w:eastAsia="楷体_GB2312"/>
          <w:szCs w:val="21"/>
        </w:rPr>
      </w:pPr>
      <w:r>
        <w:rPr>
          <w:rFonts w:eastAsia="楷体_GB2312" w:hint="eastAsia"/>
          <w:szCs w:val="21"/>
        </w:rPr>
        <w:t>公式中，融券卖出金额＝融券卖出证券的数量×卖出价格，融券卖出证券市值</w:t>
      </w:r>
      <w:r>
        <w:rPr>
          <w:rFonts w:eastAsia="楷体_GB2312"/>
          <w:szCs w:val="21"/>
        </w:rPr>
        <w:t>=</w:t>
      </w:r>
      <w:r>
        <w:rPr>
          <w:rFonts w:eastAsia="楷体_GB2312" w:hint="eastAsia"/>
          <w:szCs w:val="21"/>
        </w:rPr>
        <w:t>融券卖出证券数量×市价，融券卖出证券数量指融券卖出后尚未偿还的证券数量；∑［（融资买入证券市值－融资买入金额）×折算率］、∑［（融券卖出金额－融券卖出证券市值）×折算率］中的折算率是指融资买入、融券卖出证券对应的折算率，当融资买入证券市值低于融资买入金额或融券卖出证券市值高于融券卖出金额时，折算率按</w:t>
      </w:r>
      <w:r>
        <w:rPr>
          <w:rFonts w:eastAsia="楷体_GB2312" w:hint="eastAsia"/>
          <w:szCs w:val="21"/>
        </w:rPr>
        <w:t>100%</w:t>
      </w:r>
      <w:r>
        <w:rPr>
          <w:rFonts w:eastAsia="楷体_GB2312" w:hint="eastAsia"/>
          <w:szCs w:val="21"/>
        </w:rPr>
        <w:t>。</w:t>
      </w:r>
    </w:p>
    <w:p w14:paraId="4D964261"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维持担保比例：指甲方担保物价值与其融资融券债务之间的比例。其计算公式为：</w:t>
      </w:r>
    </w:p>
    <w:p w14:paraId="187D543D" w14:textId="77777777" w:rsidR="002D3EC1" w:rsidRDefault="002D3EC1" w:rsidP="002D3EC1">
      <w:pPr>
        <w:spacing w:line="276" w:lineRule="auto"/>
        <w:ind w:firstLineChars="200" w:firstLine="420"/>
        <w:rPr>
          <w:rFonts w:eastAsia="楷体_GB2312"/>
          <w:szCs w:val="21"/>
        </w:rPr>
      </w:pPr>
      <w:r>
        <w:rPr>
          <w:rFonts w:eastAsia="楷体_GB2312" w:hint="eastAsia"/>
          <w:szCs w:val="21"/>
        </w:rPr>
        <w:t>维持担保比例＝（现金</w:t>
      </w:r>
      <w:r>
        <w:rPr>
          <w:rFonts w:eastAsia="楷体_GB2312"/>
          <w:szCs w:val="21"/>
        </w:rPr>
        <w:t>+</w:t>
      </w:r>
      <w:r>
        <w:rPr>
          <w:rFonts w:eastAsia="楷体_GB2312" w:hint="eastAsia"/>
          <w:szCs w:val="21"/>
        </w:rPr>
        <w:t>信用证券账户内证券市值）</w:t>
      </w:r>
      <w:r>
        <w:rPr>
          <w:rFonts w:eastAsia="楷体_GB2312"/>
          <w:szCs w:val="21"/>
        </w:rPr>
        <w:t>/(</w:t>
      </w:r>
      <w:r>
        <w:rPr>
          <w:rFonts w:eastAsia="楷体_GB2312" w:hint="eastAsia"/>
          <w:szCs w:val="21"/>
        </w:rPr>
        <w:t>融资买入金额</w:t>
      </w:r>
      <w:r>
        <w:rPr>
          <w:rFonts w:eastAsia="楷体_GB2312"/>
          <w:szCs w:val="21"/>
        </w:rPr>
        <w:t>+</w:t>
      </w:r>
      <w:r>
        <w:rPr>
          <w:rFonts w:eastAsia="楷体_GB2312" w:hint="eastAsia"/>
          <w:szCs w:val="21"/>
        </w:rPr>
        <w:t>融券卖出证券数量×市价＋利息及费用</w:t>
      </w:r>
      <w:r>
        <w:rPr>
          <w:rFonts w:eastAsia="楷体_GB2312"/>
          <w:szCs w:val="21"/>
        </w:rPr>
        <w:t xml:space="preserve">) </w:t>
      </w:r>
      <w:r>
        <w:rPr>
          <w:rFonts w:eastAsia="楷体_GB2312" w:hint="eastAsia"/>
          <w:szCs w:val="21"/>
        </w:rPr>
        <w:t>×</w:t>
      </w:r>
      <w:r>
        <w:rPr>
          <w:rFonts w:eastAsia="楷体_GB2312"/>
          <w:szCs w:val="21"/>
        </w:rPr>
        <w:t>100%</w:t>
      </w:r>
    </w:p>
    <w:p w14:paraId="1B156933"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提取线：指维持担保比例为</w:t>
      </w:r>
      <w:r>
        <w:rPr>
          <w:rFonts w:eastAsia="楷体_GB2312"/>
          <w:szCs w:val="21"/>
        </w:rPr>
        <w:t>300%</w:t>
      </w:r>
      <w:r>
        <w:rPr>
          <w:rFonts w:eastAsia="楷体_GB2312" w:hint="eastAsia"/>
          <w:szCs w:val="21"/>
        </w:rPr>
        <w:t>。当维持担保比例超过</w:t>
      </w:r>
      <w:r>
        <w:rPr>
          <w:rFonts w:eastAsia="楷体_GB2312"/>
          <w:szCs w:val="21"/>
        </w:rPr>
        <w:t>300%</w:t>
      </w:r>
      <w:r>
        <w:rPr>
          <w:rFonts w:eastAsia="楷体_GB2312" w:hint="eastAsia"/>
          <w:szCs w:val="21"/>
        </w:rPr>
        <w:t>时，甲方可以提取保证金可用余额中的现金或充抵保证金的证券，但提取后维持担保比例不得低于</w:t>
      </w:r>
      <w:r>
        <w:rPr>
          <w:rFonts w:eastAsia="楷体_GB2312"/>
          <w:szCs w:val="21"/>
        </w:rPr>
        <w:t>300%</w:t>
      </w:r>
      <w:r>
        <w:rPr>
          <w:rFonts w:eastAsia="楷体_GB2312" w:hint="eastAsia"/>
          <w:szCs w:val="21"/>
        </w:rPr>
        <w:t>。</w:t>
      </w:r>
    </w:p>
    <w:p w14:paraId="1F71967B" w14:textId="77777777" w:rsidR="002D3EC1" w:rsidRPr="001E3D44" w:rsidRDefault="002D3EC1" w:rsidP="002D3EC1">
      <w:pPr>
        <w:numPr>
          <w:ilvl w:val="0"/>
          <w:numId w:val="3"/>
        </w:numPr>
        <w:spacing w:line="276" w:lineRule="auto"/>
        <w:ind w:left="0" w:firstLineChars="200" w:firstLine="420"/>
        <w:rPr>
          <w:rFonts w:eastAsia="楷体_GB2312"/>
          <w:szCs w:val="21"/>
        </w:rPr>
      </w:pPr>
      <w:r w:rsidRPr="001E3D44">
        <w:rPr>
          <w:rFonts w:eastAsia="楷体_GB2312" w:hint="eastAsia"/>
          <w:szCs w:val="21"/>
        </w:rPr>
        <w:lastRenderedPageBreak/>
        <w:t>警戒线：指维持担保比例为</w:t>
      </w:r>
      <w:r w:rsidRPr="00664C95">
        <w:rPr>
          <w:rFonts w:eastAsia="楷体_GB2312"/>
          <w:color w:val="000000"/>
          <w:szCs w:val="21"/>
        </w:rPr>
        <w:t>1</w:t>
      </w:r>
      <w:r w:rsidR="001B0197" w:rsidRPr="00664C95">
        <w:rPr>
          <w:rFonts w:eastAsia="楷体_GB2312" w:hint="eastAsia"/>
          <w:color w:val="000000"/>
          <w:szCs w:val="21"/>
        </w:rPr>
        <w:t>4</w:t>
      </w:r>
      <w:r w:rsidRPr="00664C95">
        <w:rPr>
          <w:rFonts w:eastAsia="楷体_GB2312"/>
          <w:color w:val="000000"/>
          <w:szCs w:val="21"/>
        </w:rPr>
        <w:t>0%</w:t>
      </w:r>
      <w:r w:rsidRPr="001E3D44">
        <w:rPr>
          <w:rFonts w:eastAsia="楷体_GB2312" w:hint="eastAsia"/>
          <w:szCs w:val="21"/>
        </w:rPr>
        <w:t>，乙方可根据实际情况和有关规则调整该比例。</w:t>
      </w:r>
    </w:p>
    <w:p w14:paraId="63A6B510"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平仓线：指维持担保比例为</w:t>
      </w:r>
      <w:r>
        <w:rPr>
          <w:rFonts w:eastAsia="楷体_GB2312"/>
          <w:szCs w:val="21"/>
        </w:rPr>
        <w:t>130%</w:t>
      </w:r>
      <w:r>
        <w:rPr>
          <w:rFonts w:eastAsia="楷体_GB2312" w:hint="eastAsia"/>
          <w:szCs w:val="21"/>
        </w:rPr>
        <w:t>，乙方可根据实际情况和有关规则调整该比例。</w:t>
      </w:r>
    </w:p>
    <w:p w14:paraId="0D7D127D"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强制平仓：指当出现本合同约定的情形时，乙方处分甲方担保物用以偿还甲方对乙方所负融资融券债务的行为。</w:t>
      </w:r>
    </w:p>
    <w:p w14:paraId="123AF990"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融资负债：指甲方因向乙方融资所产生的对乙方所负债务，包括但不限于融资本金、利息、管理费、逾期息费、罚息。其中，融资本金包括成交金额及其他相关交易费用（交易手续费、过户费、印花税）。</w:t>
      </w:r>
    </w:p>
    <w:p w14:paraId="7B84CCF8"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融券负债：指甲方因向乙方融券所产生的对乙方所负债务，包括但不限于融入证券、融券费用、管理费、逾期息费、罚息等。</w:t>
      </w:r>
    </w:p>
    <w:p w14:paraId="30B8471F"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信用等级：指甲方向乙方提出融资融券业务申请后，乙方根据甲方基本情况、财务状况、证券交易情况、信用状况等因素评定甲方的信用等级。</w:t>
      </w:r>
    </w:p>
    <w:p w14:paraId="288D4203"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授信额度：指乙方根据甲方的资信状况、担保物价值、履约情况、市场变化、乙方财务安排等因素综合确定的甲方可融资融券的最大限额。甲方融资融券的总额不得超过其授信额度。</w:t>
      </w:r>
    </w:p>
    <w:p w14:paraId="4E2A2715"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长期停牌股票：指停牌时间超过</w:t>
      </w:r>
      <w:r>
        <w:rPr>
          <w:rFonts w:eastAsia="楷体_GB2312"/>
          <w:szCs w:val="21"/>
        </w:rPr>
        <w:t>30</w:t>
      </w:r>
      <w:r>
        <w:rPr>
          <w:rFonts w:eastAsia="楷体_GB2312" w:hint="eastAsia"/>
          <w:szCs w:val="21"/>
        </w:rPr>
        <w:t>个自然日的股票。</w:t>
      </w:r>
    </w:p>
    <w:p w14:paraId="422A4119" w14:textId="77777777" w:rsidR="002D3EC1" w:rsidRDefault="002D3EC1" w:rsidP="002D3EC1">
      <w:pPr>
        <w:numPr>
          <w:ilvl w:val="0"/>
          <w:numId w:val="3"/>
        </w:numPr>
        <w:spacing w:line="276" w:lineRule="auto"/>
        <w:ind w:left="0" w:firstLineChars="200" w:firstLine="420"/>
        <w:rPr>
          <w:rFonts w:eastAsia="楷体_GB2312"/>
          <w:szCs w:val="21"/>
        </w:rPr>
      </w:pPr>
      <w:r>
        <w:rPr>
          <w:rFonts w:ascii="宋体" w:eastAsia="楷体_GB2312" w:hAnsi="宋体" w:hint="eastAsia"/>
          <w:szCs w:val="21"/>
        </w:rPr>
        <w:t>客户关键资料：如果甲方是个人投资者，指甲方的姓名、身份证明文件；如果甲方是机构投资者，指甲方的营业执照、组织机构代码证、税务登记证等其他有效证明文件。</w:t>
      </w:r>
    </w:p>
    <w:p w14:paraId="6A102835" w14:textId="77777777" w:rsidR="002D3EC1" w:rsidRDefault="002D3EC1" w:rsidP="002D3EC1">
      <w:pPr>
        <w:numPr>
          <w:ilvl w:val="0"/>
          <w:numId w:val="3"/>
        </w:numPr>
        <w:spacing w:line="276" w:lineRule="auto"/>
        <w:ind w:left="0" w:firstLineChars="200" w:firstLine="420"/>
        <w:rPr>
          <w:rFonts w:eastAsia="楷体_GB2312"/>
          <w:szCs w:val="21"/>
        </w:rPr>
      </w:pPr>
      <w:r>
        <w:rPr>
          <w:rFonts w:ascii="宋体" w:eastAsia="楷体_GB2312" w:hAnsi="宋体" w:hint="eastAsia"/>
          <w:szCs w:val="21"/>
        </w:rPr>
        <w:t>客户关键信息：如果甲方是个人投资者，指甲方的姓名、身份证件号码、联系地址、邮政编码、电子邮件、固定电话号码、移动电话号码等；如果甲方是机构投资者，指甲方的机构名称、营业执照号码、组织机构代码证号码、税务登记证号码、联系地址、邮政编码、电子邮件、固定电话号码、移动电话号码等。</w:t>
      </w:r>
    </w:p>
    <w:p w14:paraId="08E36814"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乙方网站：</w:t>
      </w:r>
      <w:hyperlink r:id="rId9" w:history="1">
        <w:r>
          <w:rPr>
            <w:rFonts w:eastAsia="楷体_GB2312"/>
            <w:szCs w:val="21"/>
          </w:rPr>
          <w:t>www.</w:t>
        </w:r>
        <w:r>
          <w:rPr>
            <w:rFonts w:eastAsia="楷体_GB2312" w:hint="eastAsia"/>
            <w:szCs w:val="21"/>
          </w:rPr>
          <w:t>sczq</w:t>
        </w:r>
        <w:r>
          <w:rPr>
            <w:rFonts w:eastAsia="楷体_GB2312"/>
            <w:szCs w:val="21"/>
          </w:rPr>
          <w:t>.com</w:t>
        </w:r>
      </w:hyperlink>
      <w:r>
        <w:rPr>
          <w:rFonts w:eastAsia="楷体_GB2312" w:hint="eastAsia"/>
          <w:szCs w:val="21"/>
        </w:rPr>
        <w:t>.cn</w:t>
      </w:r>
      <w:r>
        <w:rPr>
          <w:rFonts w:eastAsia="楷体_GB2312" w:hint="eastAsia"/>
          <w:szCs w:val="21"/>
        </w:rPr>
        <w:t>。</w:t>
      </w:r>
    </w:p>
    <w:p w14:paraId="171C6D2F"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中国证监会：指中国证券监督管理委员会。</w:t>
      </w:r>
    </w:p>
    <w:p w14:paraId="3895541B"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证券交易所：指上海证券交易所和深圳证券交易所。</w:t>
      </w:r>
    </w:p>
    <w:p w14:paraId="53C853D8"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证券登记结算机构：指中国证券登记结算有限责任公司及其分公司。</w:t>
      </w:r>
    </w:p>
    <w:p w14:paraId="47455C9C" w14:textId="77777777" w:rsidR="002D3EC1" w:rsidRDefault="002D3EC1" w:rsidP="002D3EC1">
      <w:pPr>
        <w:numPr>
          <w:ilvl w:val="0"/>
          <w:numId w:val="3"/>
        </w:numPr>
        <w:spacing w:line="276" w:lineRule="auto"/>
        <w:ind w:left="0" w:firstLineChars="200" w:firstLine="420"/>
        <w:rPr>
          <w:rFonts w:eastAsia="楷体_GB2312"/>
          <w:szCs w:val="21"/>
        </w:rPr>
      </w:pPr>
      <w:r>
        <w:rPr>
          <w:rFonts w:eastAsia="楷体_GB2312" w:hint="eastAsia"/>
          <w:szCs w:val="21"/>
        </w:rPr>
        <w:t>交易日：指证券交易所的正常营业日。</w:t>
      </w:r>
    </w:p>
    <w:p w14:paraId="4AFEB007"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声明与保证</w:t>
      </w:r>
    </w:p>
    <w:p w14:paraId="27B3D0D7"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甲方向乙方作如下声明与保证：</w:t>
      </w:r>
    </w:p>
    <w:p w14:paraId="385F88D8"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甲方具有合法的融资融券交易主体资格，不存在法律、行政法规、规章及其他规范性文件等禁止或限制从事融资融券交易的情形。</w:t>
      </w:r>
    </w:p>
    <w:p w14:paraId="44119DE9"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甲方自愿遵守融资融券业务的有关法律、行政法规、规章、其他规范性文件的规定及乙方制定的相关业务规则，接受本合同的约束。</w:t>
      </w:r>
    </w:p>
    <w:p w14:paraId="72E3CC82"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甲方保证用于融资融券交易的资产（包括资金和证券）来源合法，并保证愿意遵守国家关于反洗钱的相关规定。甲方向乙方提供担保的资产未设定其他任何担保及第三方权利，不存在任何权利瑕疵。</w:t>
      </w:r>
    </w:p>
    <w:p w14:paraId="28298167"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lastRenderedPageBreak/>
        <w:t>甲方承诺如实向乙方提供其身份证明材料、资信证明文件及其他相关材料，并对所提交的各类文件、资料、信息的真实性、准确性、完整性、合法性和有效性负责，并保证在上述相关文件、资料、信息的内容发生变更时及时通知乙方，及时办理资料变更手续。</w:t>
      </w:r>
    </w:p>
    <w:p w14:paraId="5B560EBA"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同意乙方以合法方式对甲方的资信状况、履约能力进行必要的了解，并同意乙方按照有关规定，向中国证监会及其派出机构、中国证券业协会、证券交易所、证券登记结算机构等单位报送甲方的融资融券交易数据、信用证券账户注册资料及其他相关信息。</w:t>
      </w:r>
    </w:p>
    <w:p w14:paraId="0F7FEC43"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声明已详细阅读本合同及《融资融券交易风险揭示书》的所有条款及内容，已听取乙方对融资融券业务规则、业务风险和合同内容的讲解，已准确理解融资融券业务规则、本合同及《融资融券交易风险揭示书》的确切含义，已清楚认识并愿意自行承担融资融券交易的风险和损失，乙方不以任何方式保证甲方获得投资收益或承担甲方投资损失。</w:t>
      </w:r>
    </w:p>
    <w:p w14:paraId="39976F07"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甲方承诺未经乙方书面同意，不以任何方式转让本合同项下的各项权利与义务。</w:t>
      </w:r>
    </w:p>
    <w:p w14:paraId="018B2B3A"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甲方保证其财务状况及证券交易信用良好，现时不存在被市场禁入或因证券交易而被有关监管部门或国家有权机关调查、处罚、起诉等情形。</w:t>
      </w:r>
    </w:p>
    <w:p w14:paraId="5305EEB7"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承诺在与乙方签订本合同时及本合同有效期内，向乙方如实申报其账户和关联人持有的全部证券账户情况；在本合同有效期内，甲方或其关联人卖出与融入证券相同的证券的，甲方承诺在该事实发生之日起的三个交易日内向乙方申报。</w:t>
      </w:r>
    </w:p>
    <w:p w14:paraId="25A3C77D"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甲方声明，签订本合同时甲方不是乙方的股东或关联人；本合同有效期内，如甲方成为乙方的股东或关联人，甲方承诺将立即通知乙方，并尽快了结融资融券交易，解除本合同。</w:t>
      </w:r>
    </w:p>
    <w:p w14:paraId="1728BFA8"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甲方承诺在与乙方签订本合同及本合同有效期内，向乙方如实申报持有上市公司限售股份（包括解除和未解除限售股份）以及是否为上市公司董事、监事或高级管理人员等相关信息。</w:t>
      </w:r>
    </w:p>
    <w:p w14:paraId="114D612F"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如果甲方持有上市公司限售股份（包括解除和未解除限售股份）的，甲方承诺不融券卖出该上市公司股票、也不以普通证券账户持有的该上市公司股票充抵保证金。否则，甲方自愿承担一切后果。</w:t>
      </w:r>
    </w:p>
    <w:p w14:paraId="6095F0AF"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如果甲方为上市公司董事、监事或高级管理人员，甲方承诺不使用信用账户买卖该上市公司股票，也不以普通证券账户持有的该上市公司股票充抵保证金。否则，甲方自愿承担一切后果。</w:t>
      </w:r>
    </w:p>
    <w:p w14:paraId="733F54A5"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甲方保证在签订本合同时不存在与其他证券公司之间的融资融券合同关系，且甲方承诺在本合同有效期内不与其他证券公司建立融资融券合同关系，不与其他证券公司进行融资融券交易。</w:t>
      </w:r>
    </w:p>
    <w:p w14:paraId="5F9F2D6F" w14:textId="77777777" w:rsidR="002D3EC1" w:rsidRDefault="002D3EC1" w:rsidP="002D3EC1">
      <w:pPr>
        <w:numPr>
          <w:ilvl w:val="0"/>
          <w:numId w:val="4"/>
        </w:numPr>
        <w:spacing w:line="276" w:lineRule="auto"/>
        <w:ind w:left="0" w:firstLineChars="200" w:firstLine="420"/>
        <w:rPr>
          <w:rFonts w:eastAsia="楷体_GB2312"/>
          <w:szCs w:val="21"/>
        </w:rPr>
      </w:pPr>
      <w:r>
        <w:rPr>
          <w:rFonts w:eastAsia="楷体_GB2312" w:hint="eastAsia"/>
          <w:szCs w:val="21"/>
        </w:rPr>
        <w:t>甲方保证上述声明与保证的内容皆为本人真实意思表示，在本合同有效期内持续有效，并自愿承担虚假陈述的一切后果。</w:t>
      </w:r>
    </w:p>
    <w:p w14:paraId="789EDFF3"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乙方向甲方作如下声明与保证：</w:t>
      </w:r>
    </w:p>
    <w:p w14:paraId="02026B50" w14:textId="77777777" w:rsidR="002D3EC1" w:rsidRDefault="002D3EC1" w:rsidP="002D3EC1">
      <w:pPr>
        <w:numPr>
          <w:ilvl w:val="0"/>
          <w:numId w:val="5"/>
        </w:numPr>
        <w:spacing w:line="276" w:lineRule="auto"/>
        <w:ind w:left="0" w:firstLineChars="200" w:firstLine="420"/>
        <w:rPr>
          <w:rFonts w:eastAsia="楷体_GB2312"/>
          <w:szCs w:val="21"/>
        </w:rPr>
      </w:pPr>
      <w:r>
        <w:rPr>
          <w:rFonts w:eastAsia="楷体_GB2312" w:hint="eastAsia"/>
          <w:szCs w:val="21"/>
        </w:rPr>
        <w:t>乙方是依法设立的证券经营机构，并经中国证监会批准</w:t>
      </w:r>
      <w:r>
        <w:rPr>
          <w:rFonts w:eastAsia="楷体_GB2312"/>
          <w:szCs w:val="21"/>
        </w:rPr>
        <w:t>[</w:t>
      </w:r>
      <w:r>
        <w:rPr>
          <w:rFonts w:eastAsia="楷体_GB2312" w:hint="eastAsia"/>
          <w:szCs w:val="21"/>
        </w:rPr>
        <w:t>批准文件名称及文号：</w:t>
      </w:r>
      <w:r>
        <w:rPr>
          <w:rFonts w:eastAsia="楷体_GB2312"/>
          <w:szCs w:val="21"/>
        </w:rPr>
        <w:t>]</w:t>
      </w:r>
      <w:r>
        <w:rPr>
          <w:rFonts w:eastAsia="楷体_GB2312" w:hint="eastAsia"/>
          <w:szCs w:val="21"/>
        </w:rPr>
        <w:t>，具有从事融资融券业务的资格。</w:t>
      </w:r>
    </w:p>
    <w:p w14:paraId="31DB7D42" w14:textId="77777777" w:rsidR="002D3EC1" w:rsidRDefault="002D3EC1" w:rsidP="002D3EC1">
      <w:pPr>
        <w:numPr>
          <w:ilvl w:val="0"/>
          <w:numId w:val="5"/>
        </w:numPr>
        <w:spacing w:line="276" w:lineRule="auto"/>
        <w:ind w:left="0" w:firstLineChars="200" w:firstLine="420"/>
        <w:rPr>
          <w:rFonts w:eastAsia="楷体_GB2312"/>
          <w:szCs w:val="21"/>
        </w:rPr>
      </w:pPr>
      <w:r>
        <w:rPr>
          <w:rFonts w:eastAsia="楷体_GB2312" w:hint="eastAsia"/>
          <w:szCs w:val="21"/>
        </w:rPr>
        <w:t>乙方自愿遵守融资融券业务的有关法律、行政法规、规章及其他规范性文件的规定及乙方制定的相关业务规则，接受本合同的约束。</w:t>
      </w:r>
    </w:p>
    <w:p w14:paraId="4C61125D" w14:textId="77777777" w:rsidR="002D3EC1" w:rsidRDefault="002D3EC1" w:rsidP="002D3EC1">
      <w:pPr>
        <w:numPr>
          <w:ilvl w:val="0"/>
          <w:numId w:val="5"/>
        </w:numPr>
        <w:spacing w:line="276" w:lineRule="auto"/>
        <w:ind w:left="0" w:firstLineChars="200" w:firstLine="420"/>
        <w:rPr>
          <w:rFonts w:eastAsia="楷体_GB2312"/>
          <w:szCs w:val="21"/>
        </w:rPr>
      </w:pPr>
      <w:r>
        <w:rPr>
          <w:rFonts w:eastAsia="楷体_GB2312" w:hint="eastAsia"/>
          <w:szCs w:val="21"/>
        </w:rPr>
        <w:lastRenderedPageBreak/>
        <w:t>乙方承诺用于融资融券业务的资产（包括资金和证券）来源合法。</w:t>
      </w:r>
    </w:p>
    <w:p w14:paraId="430A4BE8" w14:textId="77777777" w:rsidR="002D3EC1" w:rsidRDefault="002D3EC1" w:rsidP="002D3EC1">
      <w:pPr>
        <w:numPr>
          <w:ilvl w:val="0"/>
          <w:numId w:val="5"/>
        </w:numPr>
        <w:spacing w:line="276" w:lineRule="auto"/>
        <w:ind w:left="0" w:firstLineChars="200" w:firstLine="420"/>
        <w:rPr>
          <w:rFonts w:eastAsia="楷体_GB2312"/>
          <w:szCs w:val="21"/>
        </w:rPr>
      </w:pPr>
      <w:r>
        <w:rPr>
          <w:rFonts w:eastAsia="楷体_GB2312" w:hint="eastAsia"/>
          <w:szCs w:val="21"/>
        </w:rPr>
        <w:t>乙方声明不以任何方式保证甲方获得投资收益或承担甲方投资损失，不接受甲方的全权委托而决定证券买卖、选择证券种类、决定买卖数量或者买卖价格，不与甲方约定分享利益或者共担风险。</w:t>
      </w:r>
    </w:p>
    <w:p w14:paraId="7D0EE01D" w14:textId="77777777" w:rsidR="002D3EC1" w:rsidRDefault="002D3EC1" w:rsidP="002D3EC1">
      <w:pPr>
        <w:numPr>
          <w:ilvl w:val="0"/>
          <w:numId w:val="5"/>
        </w:numPr>
        <w:spacing w:line="276" w:lineRule="auto"/>
        <w:ind w:left="0" w:firstLineChars="200" w:firstLine="420"/>
        <w:rPr>
          <w:rFonts w:eastAsia="楷体_GB2312"/>
          <w:szCs w:val="21"/>
        </w:rPr>
      </w:pPr>
      <w:r>
        <w:rPr>
          <w:rFonts w:eastAsia="楷体_GB2312" w:hint="eastAsia"/>
          <w:szCs w:val="21"/>
        </w:rPr>
        <w:t>乙方具备办理融资融券业务的必要条件，能够为甲方融资融券交易提供相应的服务。</w:t>
      </w:r>
    </w:p>
    <w:p w14:paraId="3EB8BAC3" w14:textId="77777777" w:rsidR="002D3EC1" w:rsidRDefault="002D3EC1" w:rsidP="002D3EC1">
      <w:pPr>
        <w:numPr>
          <w:ilvl w:val="0"/>
          <w:numId w:val="5"/>
        </w:numPr>
        <w:spacing w:line="276" w:lineRule="auto"/>
        <w:ind w:left="0" w:firstLineChars="200" w:firstLine="420"/>
        <w:rPr>
          <w:rFonts w:eastAsia="楷体_GB2312"/>
          <w:szCs w:val="21"/>
        </w:rPr>
      </w:pPr>
      <w:r>
        <w:rPr>
          <w:rFonts w:eastAsia="楷体_GB2312" w:hint="eastAsia"/>
          <w:szCs w:val="21"/>
        </w:rPr>
        <w:t>乙方已向甲方提供了《融资融券交易风险揭示书》，并已按照有关规定向甲方详细讲解了融资融券业务规则、《融资融券交易风险揭示书》和本合同内容。</w:t>
      </w:r>
    </w:p>
    <w:p w14:paraId="4FE198FD" w14:textId="77777777" w:rsidR="002D3EC1" w:rsidRDefault="002D3EC1" w:rsidP="002D3EC1">
      <w:pPr>
        <w:numPr>
          <w:ilvl w:val="0"/>
          <w:numId w:val="5"/>
        </w:numPr>
        <w:spacing w:line="276" w:lineRule="auto"/>
        <w:ind w:left="0" w:firstLineChars="200" w:firstLine="420"/>
        <w:rPr>
          <w:rFonts w:eastAsia="楷体_GB2312"/>
          <w:szCs w:val="21"/>
        </w:rPr>
      </w:pPr>
      <w:r>
        <w:rPr>
          <w:rFonts w:eastAsia="楷体_GB2312" w:hint="eastAsia"/>
          <w:szCs w:val="21"/>
        </w:rPr>
        <w:t>乙方承诺按照诚实信用和公平原则维持甲方的合法权益。</w:t>
      </w:r>
    </w:p>
    <w:p w14:paraId="1CB70D0F" w14:textId="77777777" w:rsidR="002D3EC1" w:rsidRDefault="002D3EC1" w:rsidP="002D3EC1">
      <w:pPr>
        <w:numPr>
          <w:ilvl w:val="0"/>
          <w:numId w:val="5"/>
        </w:numPr>
        <w:spacing w:line="276" w:lineRule="auto"/>
        <w:ind w:left="0" w:firstLineChars="200" w:firstLine="420"/>
        <w:rPr>
          <w:rFonts w:eastAsia="楷体_GB2312"/>
          <w:szCs w:val="21"/>
        </w:rPr>
      </w:pPr>
      <w:r>
        <w:rPr>
          <w:rFonts w:eastAsia="楷体_GB2312" w:hint="eastAsia"/>
          <w:szCs w:val="21"/>
        </w:rPr>
        <w:t>乙方保证上述声明与保证的内容皆为本机构真实意思表示，在本合同有效期内持续有效，并自愿承担虚假陈述的一切后果。</w:t>
      </w:r>
    </w:p>
    <w:p w14:paraId="357CC88C"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信用账户的开立与注销</w:t>
      </w:r>
    </w:p>
    <w:p w14:paraId="0F26835F"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信用证券账户的开立</w:t>
      </w:r>
    </w:p>
    <w:p w14:paraId="538A8530" w14:textId="77777777" w:rsidR="002D3EC1" w:rsidRDefault="002D3EC1" w:rsidP="002D3EC1">
      <w:pPr>
        <w:numPr>
          <w:ilvl w:val="0"/>
          <w:numId w:val="6"/>
        </w:numPr>
        <w:spacing w:line="276" w:lineRule="auto"/>
        <w:ind w:left="0" w:firstLineChars="200" w:firstLine="420"/>
        <w:rPr>
          <w:rFonts w:eastAsia="楷体_GB2312"/>
          <w:szCs w:val="21"/>
        </w:rPr>
      </w:pPr>
      <w:r>
        <w:rPr>
          <w:rFonts w:eastAsia="楷体_GB2312" w:hint="eastAsia"/>
          <w:szCs w:val="21"/>
        </w:rPr>
        <w:t>甲方申请开立信用账户前，应当在乙方处开有普通账户。注销信用账户前，甲方普通账户不得销户，已在乙方处指定交易的上海证券交易所普通证券账户不得撤销指定交易。</w:t>
      </w:r>
    </w:p>
    <w:p w14:paraId="04246CB1" w14:textId="77777777" w:rsidR="002D3EC1" w:rsidRDefault="002D3EC1" w:rsidP="002D3EC1">
      <w:pPr>
        <w:numPr>
          <w:ilvl w:val="0"/>
          <w:numId w:val="6"/>
        </w:numPr>
        <w:spacing w:line="276" w:lineRule="auto"/>
        <w:ind w:left="0" w:firstLineChars="200" w:firstLine="420"/>
        <w:rPr>
          <w:rFonts w:eastAsia="楷体_GB2312"/>
          <w:szCs w:val="21"/>
        </w:rPr>
      </w:pPr>
      <w:r>
        <w:rPr>
          <w:rFonts w:eastAsia="楷体_GB2312" w:hint="eastAsia"/>
          <w:szCs w:val="21"/>
        </w:rPr>
        <w:t>甲乙双方签订本合同后，乙方应当根据甲方的申请，按照证券登记结算机构的规定，为甲方开立实名信用证券账户，作为乙方“客户信用交易担保证券账户”的二级账户，用于记载甲方委托乙方持有的担保证券的明细数据。甲方用于一家证券交易所上市证券交易的信用证券账户只能有一个。甲方信用证券账户与其普通证券账户的关键资料应当一致。</w:t>
      </w:r>
    </w:p>
    <w:p w14:paraId="046A6525" w14:textId="77777777" w:rsidR="002D3EC1" w:rsidRDefault="002D3EC1" w:rsidP="002D3EC1">
      <w:pPr>
        <w:numPr>
          <w:ilvl w:val="0"/>
          <w:numId w:val="6"/>
        </w:numPr>
        <w:spacing w:line="276" w:lineRule="auto"/>
        <w:ind w:left="0" w:firstLineChars="200" w:firstLine="420"/>
        <w:rPr>
          <w:rFonts w:eastAsia="楷体_GB2312"/>
          <w:szCs w:val="21"/>
        </w:rPr>
      </w:pPr>
      <w:r>
        <w:rPr>
          <w:rFonts w:eastAsia="楷体_GB2312" w:hint="eastAsia"/>
          <w:szCs w:val="21"/>
        </w:rPr>
        <w:t>在甲方成功开立信用证券账户后，乙方应制作信用证券账户卡，作为甲方开立信用证券账户的凭证交付给甲方。</w:t>
      </w:r>
    </w:p>
    <w:p w14:paraId="00B701AE" w14:textId="77777777" w:rsidR="002D3EC1" w:rsidRDefault="002D3EC1" w:rsidP="002D3EC1">
      <w:pPr>
        <w:numPr>
          <w:ilvl w:val="0"/>
          <w:numId w:val="6"/>
        </w:numPr>
        <w:spacing w:line="276" w:lineRule="auto"/>
        <w:ind w:left="0" w:firstLineChars="200" w:firstLine="420"/>
        <w:rPr>
          <w:rFonts w:eastAsia="楷体_GB2312"/>
          <w:szCs w:val="21"/>
        </w:rPr>
      </w:pPr>
      <w:r>
        <w:rPr>
          <w:rFonts w:eastAsia="楷体_GB2312" w:hint="eastAsia"/>
          <w:szCs w:val="21"/>
        </w:rPr>
        <w:t>乙方负责办理甲方信用证券账户卡的挂失补办、账户注册资料的变更。甲方申请信用证券账户卡挂失补办、账户注册资料变更等业务，应到乙方原开户营业网点办理。</w:t>
      </w:r>
    </w:p>
    <w:p w14:paraId="07C81D65"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信用资金账户的开立</w:t>
      </w:r>
    </w:p>
    <w:p w14:paraId="231C737A" w14:textId="77777777" w:rsidR="002D3EC1" w:rsidRDefault="002D3EC1" w:rsidP="002D3EC1">
      <w:pPr>
        <w:spacing w:line="276" w:lineRule="auto"/>
        <w:ind w:firstLineChars="200" w:firstLine="420"/>
        <w:rPr>
          <w:rFonts w:eastAsia="楷体_GB2312"/>
          <w:szCs w:val="21"/>
        </w:rPr>
      </w:pPr>
      <w:r>
        <w:rPr>
          <w:rFonts w:eastAsia="楷体_GB2312" w:hint="eastAsia"/>
          <w:szCs w:val="21"/>
        </w:rPr>
        <w:t>甲乙双方签订本合同后，甲方按照有关规定在商业银行开立实名信用资金账户，作为乙方“客户信用交易担保资金账户”的二级账户，用于记载甲方交存的担保资金的明细数据，甲方、乙方和商业银行还应签订客户信用交易担保资金第三方存管协议。甲方只能开立一个信用资金账户。</w:t>
      </w:r>
    </w:p>
    <w:p w14:paraId="1586CEC0"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乙方为甲方开立实名甲方信用资金台账，用于记载甲方交存的担保资产及融资融券交易明细数据，与“甲方信用资金账户”形成一一对应关系。</w:t>
      </w:r>
    </w:p>
    <w:p w14:paraId="6FB65927"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信用账户的注销</w:t>
      </w:r>
    </w:p>
    <w:p w14:paraId="4187149B" w14:textId="77777777" w:rsidR="002D3EC1" w:rsidRDefault="002D3EC1" w:rsidP="002D3EC1">
      <w:pPr>
        <w:numPr>
          <w:ilvl w:val="0"/>
          <w:numId w:val="7"/>
        </w:numPr>
        <w:spacing w:line="276" w:lineRule="auto"/>
        <w:ind w:left="0" w:firstLineChars="200" w:firstLine="420"/>
        <w:rPr>
          <w:rFonts w:eastAsia="楷体_GB2312"/>
          <w:szCs w:val="21"/>
        </w:rPr>
      </w:pPr>
      <w:r>
        <w:rPr>
          <w:rFonts w:eastAsia="楷体_GB2312" w:hint="eastAsia"/>
          <w:szCs w:val="21"/>
        </w:rPr>
        <w:t>甲方不再与乙方进行融资融券交易的，在向其他证券公司申请开立新的信用账户前，应当先注销其在乙方开立的信用账户，注销信用账户前应了结所有融资融券交易。</w:t>
      </w:r>
    </w:p>
    <w:p w14:paraId="762E6209" w14:textId="77777777" w:rsidR="002D3EC1" w:rsidRDefault="002D3EC1" w:rsidP="002D3EC1">
      <w:pPr>
        <w:numPr>
          <w:ilvl w:val="0"/>
          <w:numId w:val="7"/>
        </w:numPr>
        <w:spacing w:line="276" w:lineRule="auto"/>
        <w:ind w:left="0" w:firstLineChars="200" w:firstLine="420"/>
        <w:rPr>
          <w:rFonts w:eastAsia="楷体_GB2312"/>
          <w:szCs w:val="21"/>
        </w:rPr>
      </w:pPr>
      <w:r>
        <w:rPr>
          <w:rFonts w:eastAsia="楷体_GB2312" w:hint="eastAsia"/>
          <w:szCs w:val="21"/>
        </w:rPr>
        <w:t>了结融资融券交易后有剩余证券或资金的，在信用账户注销前，甲方应当申请将剩余证券划转到其普通证券账户，将剩余资金划转到其相应银行账户。</w:t>
      </w:r>
    </w:p>
    <w:p w14:paraId="6C73EA67" w14:textId="77777777" w:rsidR="002D3EC1" w:rsidRDefault="002D3EC1" w:rsidP="002D3EC1">
      <w:pPr>
        <w:spacing w:line="276" w:lineRule="auto"/>
        <w:ind w:left="420"/>
        <w:rPr>
          <w:rFonts w:eastAsia="楷体_GB2312"/>
          <w:szCs w:val="21"/>
        </w:rPr>
      </w:pPr>
    </w:p>
    <w:p w14:paraId="35F46A6E"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lastRenderedPageBreak/>
        <w:t>融资融券特定的财产信托关系</w:t>
      </w:r>
    </w:p>
    <w:p w14:paraId="7CA3BEEC"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甲方提交的存放于客户信用交易担保证券账户及客户信用交易担保资金账户并记入甲方信用账户内的所有证券和资金均为甲方向乙方就融资融券交易所生债务所提交的担保物，该担保物系信托财产，与甲方的其他财产和乙方的自有财产相互独立，除法律法规规定的情形和本合同的约定之外，乙方不得动用。甲乙双方的信托关系约定如下：</w:t>
      </w:r>
    </w:p>
    <w:p w14:paraId="30E05015" w14:textId="77777777" w:rsidR="002D3EC1" w:rsidRDefault="002D3EC1" w:rsidP="002D3EC1">
      <w:pPr>
        <w:numPr>
          <w:ilvl w:val="0"/>
          <w:numId w:val="8"/>
        </w:numPr>
        <w:spacing w:line="276" w:lineRule="auto"/>
        <w:ind w:left="0" w:firstLineChars="200" w:firstLine="420"/>
        <w:rPr>
          <w:rFonts w:eastAsia="楷体_GB2312"/>
          <w:szCs w:val="21"/>
        </w:rPr>
      </w:pPr>
      <w:r>
        <w:rPr>
          <w:rFonts w:eastAsia="楷体_GB2312" w:hint="eastAsia"/>
          <w:szCs w:val="21"/>
        </w:rPr>
        <w:t>信托目的。甲方自愿将保证金（含充抵保证金的证券、融资买入的全部证券和融券卖出所得全部资金以及上述资金、证券所生孳息等转移给乙方，设立以乙方为受托人、甲方与乙方为共同受益人、以担保乙方对甲方的融资融券债权为目的的信托。</w:t>
      </w:r>
    </w:p>
    <w:p w14:paraId="286D0248" w14:textId="77777777" w:rsidR="002D3EC1" w:rsidRDefault="002D3EC1" w:rsidP="002D3EC1">
      <w:pPr>
        <w:numPr>
          <w:ilvl w:val="0"/>
          <w:numId w:val="8"/>
        </w:numPr>
        <w:spacing w:line="276" w:lineRule="auto"/>
        <w:ind w:left="0" w:firstLineChars="200" w:firstLine="420"/>
        <w:rPr>
          <w:rFonts w:eastAsia="楷体_GB2312"/>
          <w:szCs w:val="21"/>
        </w:rPr>
      </w:pPr>
      <w:r>
        <w:rPr>
          <w:rFonts w:eastAsia="楷体_GB2312" w:hint="eastAsia"/>
          <w:szCs w:val="21"/>
        </w:rPr>
        <w:t>信托财产范围。上述信托财产的范围是甲方存放于乙方“客户信用交易担保证券账户”和“客户信用交易担保资金账户”内相应的证券和资金，具体金额和数量以乙方“客户信用交易担保证券账户”和“客户信用交易担保资金账户”实际记录的数据为准。</w:t>
      </w:r>
    </w:p>
    <w:p w14:paraId="78FD5706" w14:textId="77777777" w:rsidR="002D3EC1" w:rsidRDefault="002D3EC1" w:rsidP="002D3EC1">
      <w:pPr>
        <w:numPr>
          <w:ilvl w:val="0"/>
          <w:numId w:val="8"/>
        </w:numPr>
        <w:spacing w:line="276" w:lineRule="auto"/>
        <w:ind w:left="0" w:firstLineChars="200" w:firstLine="420"/>
        <w:rPr>
          <w:rFonts w:eastAsia="楷体_GB2312"/>
          <w:szCs w:val="21"/>
        </w:rPr>
      </w:pPr>
      <w:r>
        <w:rPr>
          <w:rFonts w:eastAsia="楷体_GB2312" w:hint="eastAsia"/>
          <w:szCs w:val="21"/>
        </w:rPr>
        <w:t>信托的成立和生效。自甲乙双方签订合同之日起，甲方对乙方“客户信用交易担保证券账户”和“客户信用交易担保资金账户”内相应证券和资金设定的信托成立。信托成立日为信托生效日。</w:t>
      </w:r>
    </w:p>
    <w:p w14:paraId="2A007D56" w14:textId="77777777" w:rsidR="002D3EC1" w:rsidRDefault="002D3EC1" w:rsidP="002D3EC1">
      <w:pPr>
        <w:numPr>
          <w:ilvl w:val="0"/>
          <w:numId w:val="8"/>
        </w:numPr>
        <w:spacing w:line="276" w:lineRule="auto"/>
        <w:ind w:left="0" w:firstLineChars="200" w:firstLine="420"/>
        <w:rPr>
          <w:rFonts w:eastAsia="楷体_GB2312"/>
          <w:szCs w:val="21"/>
        </w:rPr>
      </w:pPr>
      <w:r>
        <w:rPr>
          <w:rFonts w:eastAsia="楷体_GB2312" w:hint="eastAsia"/>
          <w:szCs w:val="21"/>
        </w:rPr>
        <w:t>信托财产的管理。上述信托财产由乙方作为受托人以自己的名义持有，与甲、乙双方的其他资产相互独立，不受甲方或乙方其他债权、债务的影响。</w:t>
      </w:r>
    </w:p>
    <w:p w14:paraId="6FD52554" w14:textId="77777777" w:rsidR="002D3EC1" w:rsidRDefault="002D3EC1" w:rsidP="002D3EC1">
      <w:pPr>
        <w:numPr>
          <w:ilvl w:val="0"/>
          <w:numId w:val="8"/>
        </w:numPr>
        <w:spacing w:line="276" w:lineRule="auto"/>
        <w:ind w:left="0" w:firstLineChars="200" w:firstLine="420"/>
        <w:rPr>
          <w:rFonts w:eastAsia="楷体_GB2312"/>
          <w:szCs w:val="21"/>
        </w:rPr>
      </w:pPr>
      <w:r>
        <w:rPr>
          <w:rFonts w:eastAsia="楷体_GB2312" w:hint="eastAsia"/>
          <w:szCs w:val="21"/>
        </w:rPr>
        <w:t>信托财产的处分。乙方享有信托财产的担保权益，甲方享有信托财产的收益权，甲方在清偿融资融券债务后，可请求乙方交付剩余信托财产。甲方未按期交足担保物或到期未偿还融资融券债务时，乙方有权采取强制平仓措施，对上述信托财产予以处分，处分所得优先用于偿还甲方对乙方所负债务。</w:t>
      </w:r>
    </w:p>
    <w:p w14:paraId="5F060698" w14:textId="77777777" w:rsidR="002D3EC1" w:rsidRDefault="002D3EC1" w:rsidP="002D3EC1">
      <w:pPr>
        <w:numPr>
          <w:ilvl w:val="0"/>
          <w:numId w:val="8"/>
        </w:numPr>
        <w:spacing w:line="276" w:lineRule="auto"/>
        <w:ind w:left="0" w:firstLineChars="200" w:firstLine="420"/>
        <w:rPr>
          <w:rFonts w:eastAsia="楷体_GB2312"/>
          <w:szCs w:val="21"/>
        </w:rPr>
      </w:pPr>
      <w:r>
        <w:rPr>
          <w:rFonts w:eastAsia="楷体_GB2312" w:hint="eastAsia"/>
          <w:szCs w:val="21"/>
        </w:rPr>
        <w:t>信托的终止。自甲方了结融资融券交易，清偿完所负融资融券债务并终止合同后，甲方以乙方“客户信用交易担保证券账户”和“客户信用交易担保资金账户”内相应的证券和资金作为对乙方所负债务的担保自行解除，同时甲乙双方之间信托关系自行终止。</w:t>
      </w:r>
    </w:p>
    <w:p w14:paraId="0537D176"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保证金、担保物及标的证券</w:t>
      </w:r>
    </w:p>
    <w:p w14:paraId="496B3FFB"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保证金、可充抵保证金的证券范围和折算率</w:t>
      </w:r>
    </w:p>
    <w:p w14:paraId="32826F27" w14:textId="77777777" w:rsidR="002D3EC1" w:rsidRDefault="002D3EC1" w:rsidP="002D3EC1">
      <w:pPr>
        <w:numPr>
          <w:ilvl w:val="0"/>
          <w:numId w:val="9"/>
        </w:numPr>
        <w:spacing w:line="276" w:lineRule="auto"/>
        <w:ind w:left="0" w:firstLineChars="200" w:firstLine="420"/>
        <w:rPr>
          <w:rFonts w:eastAsia="楷体_GB2312"/>
          <w:szCs w:val="21"/>
        </w:rPr>
      </w:pPr>
      <w:r>
        <w:rPr>
          <w:rFonts w:eastAsia="楷体_GB2312" w:hint="eastAsia"/>
          <w:szCs w:val="21"/>
        </w:rPr>
        <w:t>甲方从事融资融券交易前，乙方根据甲方信用评级结果，要求甲方提交足额的保证金；保证金提交后，乙方向甲方提供融资融券服务。</w:t>
      </w:r>
    </w:p>
    <w:p w14:paraId="50EF0562" w14:textId="77777777" w:rsidR="002D3EC1" w:rsidRDefault="002D3EC1" w:rsidP="002D3EC1">
      <w:pPr>
        <w:numPr>
          <w:ilvl w:val="0"/>
          <w:numId w:val="9"/>
        </w:numPr>
        <w:spacing w:line="276" w:lineRule="auto"/>
        <w:ind w:left="0" w:firstLineChars="200" w:firstLine="420"/>
        <w:rPr>
          <w:rFonts w:eastAsia="楷体_GB2312"/>
          <w:szCs w:val="21"/>
        </w:rPr>
      </w:pPr>
      <w:r>
        <w:rPr>
          <w:rFonts w:eastAsia="楷体_GB2312" w:hint="eastAsia"/>
          <w:szCs w:val="21"/>
        </w:rPr>
        <w:t>甲方提交的保证金可以证券充抵，甲方提交的用于充抵保证金的证券应符合证券交易所和乙方的规定。</w:t>
      </w:r>
    </w:p>
    <w:p w14:paraId="7CAE4EC0" w14:textId="77777777" w:rsidR="002D3EC1" w:rsidRDefault="002D3EC1" w:rsidP="002D3EC1">
      <w:pPr>
        <w:numPr>
          <w:ilvl w:val="0"/>
          <w:numId w:val="9"/>
        </w:numPr>
        <w:spacing w:line="276" w:lineRule="auto"/>
        <w:ind w:left="0" w:firstLineChars="200" w:firstLine="420"/>
        <w:rPr>
          <w:rFonts w:eastAsia="楷体_GB2312"/>
          <w:szCs w:val="21"/>
        </w:rPr>
      </w:pPr>
      <w:r>
        <w:rPr>
          <w:rFonts w:eastAsia="楷体_GB2312" w:hint="eastAsia"/>
          <w:szCs w:val="21"/>
        </w:rPr>
        <w:t>乙方在证券交易所规定的范围内确定可充抵保证金证券范围和折算率。乙方有权根据证券交易所的规定及市场情况的变化，调整可充抵保证金证券范围及折算率。</w:t>
      </w:r>
    </w:p>
    <w:p w14:paraId="461006E6" w14:textId="77777777" w:rsidR="002D3EC1" w:rsidRDefault="002D3EC1" w:rsidP="002D3EC1">
      <w:pPr>
        <w:numPr>
          <w:ilvl w:val="0"/>
          <w:numId w:val="9"/>
        </w:numPr>
        <w:spacing w:line="276" w:lineRule="auto"/>
        <w:ind w:left="0" w:firstLineChars="200" w:firstLine="420"/>
        <w:rPr>
          <w:rFonts w:eastAsia="楷体_GB2312"/>
          <w:szCs w:val="21"/>
        </w:rPr>
      </w:pPr>
      <w:r>
        <w:rPr>
          <w:rFonts w:eastAsia="楷体_GB2312" w:hint="eastAsia"/>
          <w:szCs w:val="21"/>
        </w:rPr>
        <w:t>乙方确定、调整可充抵保证金证券范围和折算率，应在乙方网站及其营业场所公告。甲方应随时关注乙方相关公告，及时了解可充抵保证金证券范围和折算率的调整情况，并进行相应处置，以避免发生保证金可用余额不足、维持担保比例低于警戒线或平仓线、强制平仓等不利后果。</w:t>
      </w:r>
    </w:p>
    <w:p w14:paraId="6FE575CD" w14:textId="77777777" w:rsidR="002D3EC1" w:rsidRDefault="002D3EC1" w:rsidP="002D3EC1">
      <w:pPr>
        <w:numPr>
          <w:ilvl w:val="0"/>
          <w:numId w:val="9"/>
        </w:numPr>
        <w:spacing w:line="276" w:lineRule="auto"/>
        <w:ind w:left="0" w:firstLineChars="200" w:firstLine="420"/>
        <w:rPr>
          <w:rFonts w:eastAsia="楷体_GB2312"/>
          <w:szCs w:val="21"/>
        </w:rPr>
      </w:pPr>
      <w:r>
        <w:rPr>
          <w:rFonts w:eastAsia="楷体_GB2312" w:hint="eastAsia"/>
          <w:szCs w:val="21"/>
        </w:rPr>
        <w:t>当证券交易所调整可充抵保证金证券范围及折算率，调整后的范围小于乙方公布范围或相关证券折算率低于乙方公布的相关证券折算率的，在乙方做出相关调整前，可充</w:t>
      </w:r>
      <w:r>
        <w:rPr>
          <w:rFonts w:eastAsia="楷体_GB2312" w:hint="eastAsia"/>
          <w:szCs w:val="21"/>
        </w:rPr>
        <w:lastRenderedPageBreak/>
        <w:t>抵保证金证券范围及相关证券的折算率以证券交易所公布的为准。</w:t>
      </w:r>
    </w:p>
    <w:p w14:paraId="50E527EB"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保证金比例、保证金可用余额</w:t>
      </w:r>
    </w:p>
    <w:p w14:paraId="02393253" w14:textId="77777777" w:rsidR="002D3EC1" w:rsidRDefault="002D3EC1" w:rsidP="002D3EC1">
      <w:pPr>
        <w:numPr>
          <w:ilvl w:val="0"/>
          <w:numId w:val="10"/>
        </w:numPr>
        <w:spacing w:line="276" w:lineRule="auto"/>
        <w:ind w:left="0" w:firstLineChars="200" w:firstLine="420"/>
        <w:rPr>
          <w:rFonts w:eastAsia="楷体_GB2312"/>
          <w:szCs w:val="21"/>
        </w:rPr>
      </w:pPr>
      <w:r>
        <w:rPr>
          <w:rFonts w:eastAsia="楷体_GB2312" w:hint="eastAsia"/>
          <w:szCs w:val="21"/>
        </w:rPr>
        <w:t>甲方从事融资融券交易应根据乙方规定的保证金比例，向乙方提交保证金，乙方规定的保证金比例不得低于交易所规定的最低比例。</w:t>
      </w:r>
    </w:p>
    <w:p w14:paraId="674C465C" w14:textId="77777777" w:rsidR="002D3EC1" w:rsidRDefault="002D3EC1" w:rsidP="002D3EC1">
      <w:pPr>
        <w:numPr>
          <w:ilvl w:val="0"/>
          <w:numId w:val="10"/>
        </w:numPr>
        <w:spacing w:line="276" w:lineRule="auto"/>
        <w:ind w:left="0" w:firstLineChars="200" w:firstLine="420"/>
        <w:rPr>
          <w:rFonts w:eastAsia="楷体_GB2312"/>
          <w:szCs w:val="21"/>
        </w:rPr>
      </w:pPr>
      <w:r>
        <w:rPr>
          <w:rFonts w:eastAsia="楷体_GB2312" w:hint="eastAsia"/>
          <w:szCs w:val="21"/>
        </w:rPr>
        <w:t>乙方有权调整融资保证金比例、融券保证金比例。乙方确定、调整融资保证金比例、融券保证金比例，应在乙方网站及其营业场所公告。甲方应随时关注乙方相关公告，及时了解融资保证金比例、融券保证金比例的调整情况，并进行相应处置，以避免发生保证金可用余额不足、维持担保比例低于警戒线或平仓线、强制平仓等不利后果。</w:t>
      </w:r>
    </w:p>
    <w:p w14:paraId="743417B4" w14:textId="77777777" w:rsidR="002D3EC1" w:rsidRDefault="002D3EC1" w:rsidP="002D3EC1">
      <w:pPr>
        <w:numPr>
          <w:ilvl w:val="0"/>
          <w:numId w:val="10"/>
        </w:numPr>
        <w:spacing w:line="276" w:lineRule="auto"/>
        <w:ind w:left="0" w:firstLineChars="200" w:firstLine="420"/>
        <w:rPr>
          <w:rFonts w:eastAsia="楷体_GB2312"/>
          <w:szCs w:val="21"/>
        </w:rPr>
      </w:pPr>
      <w:r>
        <w:rPr>
          <w:rFonts w:eastAsia="楷体_GB2312" w:hint="eastAsia"/>
          <w:szCs w:val="21"/>
        </w:rPr>
        <w:t>甲方融资买入或融券卖出所使用的保证金不得超过其保证金可用余额。</w:t>
      </w:r>
    </w:p>
    <w:p w14:paraId="0D7E54E5"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担保物</w:t>
      </w:r>
    </w:p>
    <w:p w14:paraId="428B9C73" w14:textId="77777777" w:rsidR="002D3EC1" w:rsidRDefault="002D3EC1" w:rsidP="002D3EC1">
      <w:pPr>
        <w:numPr>
          <w:ilvl w:val="0"/>
          <w:numId w:val="11"/>
        </w:numPr>
        <w:spacing w:line="276" w:lineRule="auto"/>
        <w:ind w:left="0" w:firstLineChars="200" w:firstLine="420"/>
        <w:rPr>
          <w:rFonts w:eastAsia="楷体_GB2312"/>
          <w:szCs w:val="21"/>
        </w:rPr>
      </w:pPr>
      <w:r>
        <w:rPr>
          <w:rFonts w:eastAsia="楷体_GB2312" w:hint="eastAsia"/>
          <w:szCs w:val="21"/>
        </w:rPr>
        <w:t>甲方信用账户内的保证金、融资买入的全部证券和融券卖出所得的全部资金及上述资金、证券所产生的孳息等，整体作为担保物，担保乙方对甲方的融资融券债权。担保范围包括但不限于乙方向甲方融出的资金和证券、乙方应收甲方的融资利息和融券费用、证券交易税费、罚息、损害赔偿金以及乙方为向甲方追索债务支付的全部费用。</w:t>
      </w:r>
    </w:p>
    <w:p w14:paraId="00FDB7A8" w14:textId="77777777" w:rsidR="002D3EC1" w:rsidRDefault="002D3EC1" w:rsidP="002D3EC1">
      <w:pPr>
        <w:numPr>
          <w:ilvl w:val="0"/>
          <w:numId w:val="11"/>
        </w:numPr>
        <w:spacing w:line="276" w:lineRule="auto"/>
        <w:ind w:left="0" w:firstLineChars="200" w:firstLine="420"/>
        <w:rPr>
          <w:rFonts w:eastAsia="楷体_GB2312"/>
          <w:szCs w:val="21"/>
        </w:rPr>
      </w:pPr>
      <w:r>
        <w:rPr>
          <w:rFonts w:eastAsia="楷体_GB2312" w:hint="eastAsia"/>
          <w:szCs w:val="21"/>
        </w:rPr>
        <w:t>甲方不得将已设定担保或其他第三方权利或被采取查封、冻结等司法或行政强制措施的资金、证券以及已经停牌的股份提交为担保物。</w:t>
      </w:r>
    </w:p>
    <w:p w14:paraId="207B4D46" w14:textId="77777777" w:rsidR="002D3EC1" w:rsidRDefault="002D3EC1" w:rsidP="002D3EC1">
      <w:pPr>
        <w:numPr>
          <w:ilvl w:val="0"/>
          <w:numId w:val="11"/>
        </w:numPr>
        <w:spacing w:line="276" w:lineRule="auto"/>
        <w:ind w:left="0" w:firstLineChars="200" w:firstLine="420"/>
        <w:rPr>
          <w:rFonts w:eastAsia="楷体_GB2312"/>
          <w:szCs w:val="21"/>
        </w:rPr>
      </w:pPr>
      <w:r>
        <w:rPr>
          <w:rFonts w:eastAsia="楷体_GB2312" w:hint="eastAsia"/>
          <w:szCs w:val="21"/>
        </w:rPr>
        <w:t>当甲方信用账户维持担保比例超过提取线时，甲方可以向乙方申请提取保证金可用余额中的现金或充抵保证金的证券，但提取后甲方信用账户的维持担保比例不得低于提取线。</w:t>
      </w:r>
    </w:p>
    <w:p w14:paraId="35503479" w14:textId="77777777" w:rsidR="002D3EC1" w:rsidRDefault="002D3EC1" w:rsidP="002D3EC1">
      <w:pPr>
        <w:numPr>
          <w:ilvl w:val="0"/>
          <w:numId w:val="11"/>
        </w:numPr>
        <w:spacing w:line="276" w:lineRule="auto"/>
        <w:ind w:left="0" w:firstLineChars="200" w:firstLine="420"/>
        <w:rPr>
          <w:rFonts w:eastAsia="楷体_GB2312"/>
          <w:szCs w:val="21"/>
        </w:rPr>
      </w:pPr>
      <w:r>
        <w:rPr>
          <w:rFonts w:eastAsia="楷体_GB2312" w:hint="eastAsia"/>
          <w:szCs w:val="21"/>
        </w:rPr>
        <w:t>甲方向信用账户提交可充抵保证金的证券及从信用账户提取可充抵保证金的证券，应按证券交易所、证券登记结算机构等的有关规定向乙方缴纳相关费用。</w:t>
      </w:r>
    </w:p>
    <w:p w14:paraId="60F9D438"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标的证券范围</w:t>
      </w:r>
    </w:p>
    <w:p w14:paraId="6B4F4AC2" w14:textId="77777777" w:rsidR="002D3EC1" w:rsidRDefault="002D3EC1" w:rsidP="002D3EC1">
      <w:pPr>
        <w:spacing w:line="276" w:lineRule="auto"/>
        <w:ind w:firstLineChars="200" w:firstLine="420"/>
        <w:rPr>
          <w:rFonts w:eastAsia="楷体_GB2312"/>
          <w:szCs w:val="21"/>
        </w:rPr>
      </w:pPr>
      <w:r>
        <w:rPr>
          <w:rFonts w:eastAsia="楷体_GB2312" w:hint="eastAsia"/>
          <w:szCs w:val="21"/>
        </w:rPr>
        <w:t>乙方有权根据证券交易所的规定，确定、调整乙方标的证券范围，并在乙方网站及其营业场所公告。甲方应随时关注乙方相关公告，及时了解标的证券范围的调整情况。</w:t>
      </w:r>
    </w:p>
    <w:p w14:paraId="5BF3F7E6"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授信额度</w:t>
      </w:r>
    </w:p>
    <w:p w14:paraId="397A2379"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乙方根据甲方的资信状况、担保物价值、履约情况、市场变化、乙方财务安排等因素，综合确定或调整对甲方的授信额度，并向甲方提供融资融券交易所需资金和证券。</w:t>
      </w:r>
    </w:p>
    <w:p w14:paraId="1DAFA889"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乙方根据乙方制定的授信额度测算规则确定甲方的授信额度。授信额度既可用于融资又可用于融券，但客户使用的融资额度和融券额度之和不能超过授信额度。</w:t>
      </w:r>
    </w:p>
    <w:p w14:paraId="76E13F7F"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乙方定期或不定期依据授信额度测算规则对甲方授信额度进行重新评估，并有权根据最新的评估结果对甲方授信额度单方面进行调整。</w:t>
      </w:r>
    </w:p>
    <w:p w14:paraId="3A4DE007" w14:textId="77777777" w:rsidR="002D3EC1" w:rsidRPr="00080D22" w:rsidRDefault="002D3EC1" w:rsidP="002D3EC1">
      <w:pPr>
        <w:numPr>
          <w:ilvl w:val="0"/>
          <w:numId w:val="2"/>
        </w:numPr>
        <w:spacing w:line="276" w:lineRule="auto"/>
        <w:ind w:left="0" w:firstLineChars="200" w:firstLine="420"/>
        <w:rPr>
          <w:rFonts w:eastAsia="楷体_GB2312"/>
          <w:szCs w:val="21"/>
        </w:rPr>
      </w:pPr>
      <w:r w:rsidRPr="00080D22">
        <w:rPr>
          <w:rFonts w:eastAsia="楷体_GB2312" w:hint="eastAsia"/>
          <w:szCs w:val="21"/>
        </w:rPr>
        <w:t>如果甲方向乙方要求提高其授信额度，甲方应向乙方提交授信额度变更申请，乙方同意授信额度变更申请后生效。</w:t>
      </w:r>
    </w:p>
    <w:p w14:paraId="58982DCE"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融资融券交易期间，甲方授信额度发生变更的，调整后的授信额度以乙方融资融券系统的记录为准。</w:t>
      </w:r>
    </w:p>
    <w:p w14:paraId="612219B1"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在乙方全体客户融资或融券需求大于乙方实际可用融资或融券额度时，乙方按照时间优先、信用等级优先的原则确定甲方融资融券的先后顺序。乙方不保证甲方需要</w:t>
      </w:r>
      <w:r>
        <w:rPr>
          <w:rFonts w:eastAsia="楷体_GB2312" w:hint="eastAsia"/>
          <w:szCs w:val="21"/>
        </w:rPr>
        <w:lastRenderedPageBreak/>
        <w:t>融资融券时都能够得到所需资金或证券。</w:t>
      </w:r>
    </w:p>
    <w:p w14:paraId="74407DAE"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融资融券期限及息费</w:t>
      </w:r>
    </w:p>
    <w:p w14:paraId="69226901" w14:textId="77777777" w:rsidR="002D3EC1" w:rsidRPr="001E3D44" w:rsidRDefault="002D3EC1" w:rsidP="002D3EC1">
      <w:pPr>
        <w:numPr>
          <w:ilvl w:val="0"/>
          <w:numId w:val="2"/>
        </w:numPr>
        <w:spacing w:line="276" w:lineRule="auto"/>
        <w:ind w:left="0" w:firstLineChars="200" w:firstLine="420"/>
        <w:rPr>
          <w:rFonts w:eastAsia="楷体_GB2312"/>
          <w:szCs w:val="21"/>
        </w:rPr>
      </w:pPr>
      <w:r w:rsidRPr="001E3D44">
        <w:rPr>
          <w:rFonts w:eastAsia="楷体_GB2312" w:hint="eastAsia"/>
          <w:szCs w:val="21"/>
        </w:rPr>
        <w:t>融资融券期限</w:t>
      </w:r>
    </w:p>
    <w:p w14:paraId="682341AC" w14:textId="2D4C7CDB" w:rsidR="002D3EC1" w:rsidRDefault="002D3EC1" w:rsidP="002D3EC1">
      <w:pPr>
        <w:spacing w:line="276" w:lineRule="auto"/>
        <w:ind w:firstLineChars="200" w:firstLine="420"/>
        <w:rPr>
          <w:rFonts w:eastAsia="楷体_GB2312"/>
          <w:szCs w:val="21"/>
        </w:rPr>
      </w:pPr>
      <w:r w:rsidRPr="001E3D44">
        <w:rPr>
          <w:rFonts w:eastAsia="楷体_GB2312" w:hint="eastAsia"/>
          <w:szCs w:val="21"/>
        </w:rPr>
        <w:t>（一）</w:t>
      </w:r>
      <w:r w:rsidR="00080D22" w:rsidRPr="001E3D44">
        <w:rPr>
          <w:rFonts w:eastAsia="楷体_GB2312" w:hint="eastAsia"/>
          <w:szCs w:val="21"/>
        </w:rPr>
        <w:t>甲方在乙方单笔融资融券债务的首次默认期限为六个月，甲方在债务到期前可以申请办理展期业务，乙方可根据甲方的负债情况、维持担保比例水平等信用状况及信用记录评估乙方是否可以办理展期业务。每次展期时间不超过</w:t>
      </w:r>
      <w:r w:rsidR="00080D22" w:rsidRPr="001E3D44">
        <w:rPr>
          <w:rFonts w:eastAsia="楷体_GB2312" w:hint="eastAsia"/>
          <w:szCs w:val="21"/>
        </w:rPr>
        <w:t>6</w:t>
      </w:r>
      <w:r w:rsidR="00080D22" w:rsidRPr="001E3D44">
        <w:rPr>
          <w:rFonts w:eastAsia="楷体_GB2312" w:hint="eastAsia"/>
          <w:szCs w:val="21"/>
        </w:rPr>
        <w:t>个月，且乙方同一笔债</w:t>
      </w:r>
      <w:proofErr w:type="gramStart"/>
      <w:r w:rsidR="00080D22" w:rsidRPr="001E3D44">
        <w:rPr>
          <w:rFonts w:eastAsia="楷体_GB2312" w:hint="eastAsia"/>
          <w:szCs w:val="21"/>
        </w:rPr>
        <w:t>务</w:t>
      </w:r>
      <w:proofErr w:type="gramEnd"/>
      <w:r w:rsidR="00080D22" w:rsidRPr="001E3D44">
        <w:rPr>
          <w:rFonts w:eastAsia="楷体_GB2312" w:hint="eastAsia"/>
          <w:szCs w:val="21"/>
        </w:rPr>
        <w:t>的存续期不超过</w:t>
      </w:r>
      <w:r w:rsidR="00080D22" w:rsidRPr="001E3D44">
        <w:rPr>
          <w:rFonts w:eastAsia="楷体_GB2312" w:hint="eastAsia"/>
          <w:szCs w:val="21"/>
        </w:rPr>
        <w:t>3</w:t>
      </w:r>
      <w:r w:rsidR="00080D22" w:rsidRPr="001E3D44">
        <w:rPr>
          <w:rFonts w:eastAsia="楷体_GB2312" w:hint="eastAsia"/>
          <w:szCs w:val="21"/>
        </w:rPr>
        <w:t>年（存续期已满</w:t>
      </w:r>
      <w:r w:rsidR="00080D22" w:rsidRPr="001E3D44">
        <w:rPr>
          <w:rFonts w:eastAsia="楷体_GB2312" w:hint="eastAsia"/>
          <w:szCs w:val="21"/>
        </w:rPr>
        <w:t>3</w:t>
      </w:r>
      <w:r w:rsidR="00080D22" w:rsidRPr="001E3D44">
        <w:rPr>
          <w:rFonts w:eastAsia="楷体_GB2312" w:hint="eastAsia"/>
          <w:szCs w:val="21"/>
        </w:rPr>
        <w:t>年，到期日期标的证券处于停牌状态或其他特殊情形除外，该种情形下，乙方可与甲方协商办理），且不得超过本合同终止日。展期期间融资融券利息费用由甲方承担。</w:t>
      </w:r>
    </w:p>
    <w:p w14:paraId="2B9B5C6C" w14:textId="77777777" w:rsidR="002D3EC1" w:rsidRDefault="002D3EC1" w:rsidP="002D3EC1">
      <w:pPr>
        <w:spacing w:line="276" w:lineRule="auto"/>
        <w:ind w:firstLineChars="200" w:firstLine="420"/>
        <w:rPr>
          <w:rFonts w:eastAsia="楷体_GB2312"/>
          <w:szCs w:val="21"/>
        </w:rPr>
      </w:pPr>
      <w:r>
        <w:rPr>
          <w:rFonts w:eastAsia="楷体_GB2312" w:hint="eastAsia"/>
          <w:szCs w:val="21"/>
        </w:rPr>
        <w:t>（二）单笔融资、融券债务到期日为非交易日的，该到期日顺延至下一个交易日。</w:t>
      </w:r>
    </w:p>
    <w:p w14:paraId="02355528"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融资利率、融资利息及计算公式</w:t>
      </w:r>
    </w:p>
    <w:p w14:paraId="5310A2AB" w14:textId="77777777" w:rsidR="002D3EC1" w:rsidRDefault="002D3EC1" w:rsidP="002D3EC1">
      <w:pPr>
        <w:numPr>
          <w:ilvl w:val="0"/>
          <w:numId w:val="12"/>
        </w:numPr>
        <w:spacing w:line="276" w:lineRule="auto"/>
        <w:ind w:left="0" w:firstLineChars="200" w:firstLine="420"/>
        <w:rPr>
          <w:rFonts w:eastAsia="楷体_GB2312"/>
          <w:szCs w:val="21"/>
        </w:rPr>
      </w:pPr>
      <w:r>
        <w:rPr>
          <w:rFonts w:eastAsia="楷体_GB2312" w:hint="eastAsia"/>
          <w:szCs w:val="21"/>
        </w:rPr>
        <w:t>乙方确定的融资利率不低于中国人民银行规定的同期金融机构贷款基准利率。乙方确定、调整融资利率应在乙方网站、营业场所公告。</w:t>
      </w:r>
    </w:p>
    <w:p w14:paraId="403D4A5F" w14:textId="77777777" w:rsidR="002D3EC1" w:rsidRDefault="002D3EC1" w:rsidP="002D3EC1">
      <w:pPr>
        <w:numPr>
          <w:ilvl w:val="0"/>
          <w:numId w:val="13"/>
        </w:numPr>
        <w:spacing w:line="276" w:lineRule="auto"/>
        <w:ind w:leftChars="200" w:left="420"/>
        <w:rPr>
          <w:rFonts w:eastAsia="楷体_GB2312"/>
          <w:szCs w:val="21"/>
        </w:rPr>
      </w:pPr>
      <w:r>
        <w:rPr>
          <w:rFonts w:eastAsia="楷体_GB2312" w:hint="eastAsia"/>
          <w:szCs w:val="21"/>
        </w:rPr>
        <w:t>乙方根据甲方实际占用的融资额度，按自然日计提融资利息</w:t>
      </w:r>
      <w:r>
        <w:rPr>
          <w:rFonts w:eastAsia="楷体_GB2312" w:hint="eastAsia"/>
          <w:szCs w:val="21"/>
        </w:rPr>
        <w:t xml:space="preserve">, </w:t>
      </w:r>
      <w:r>
        <w:rPr>
          <w:rFonts w:eastAsia="楷体_GB2312" w:hint="eastAsia"/>
          <w:szCs w:val="21"/>
        </w:rPr>
        <w:t>于甲方了结融资</w:t>
      </w:r>
    </w:p>
    <w:p w14:paraId="0A5AFD99" w14:textId="77777777" w:rsidR="002D3EC1" w:rsidRDefault="002D3EC1" w:rsidP="002D3EC1">
      <w:pPr>
        <w:spacing w:line="276" w:lineRule="auto"/>
        <w:rPr>
          <w:rFonts w:eastAsia="楷体_GB2312"/>
          <w:szCs w:val="21"/>
        </w:rPr>
      </w:pPr>
      <w:r>
        <w:rPr>
          <w:rFonts w:eastAsia="楷体_GB2312" w:hint="eastAsia"/>
          <w:szCs w:val="21"/>
        </w:rPr>
        <w:t>合约时扣收利息。</w:t>
      </w:r>
    </w:p>
    <w:p w14:paraId="5FBF9D50" w14:textId="77777777" w:rsidR="002D3EC1" w:rsidRDefault="002D3EC1" w:rsidP="002D3EC1">
      <w:pPr>
        <w:spacing w:line="276" w:lineRule="auto"/>
        <w:rPr>
          <w:rFonts w:eastAsia="楷体_GB2312"/>
          <w:szCs w:val="21"/>
        </w:rPr>
      </w:pPr>
      <w:r>
        <w:rPr>
          <w:rFonts w:eastAsia="楷体_GB2312" w:hint="eastAsia"/>
          <w:szCs w:val="21"/>
        </w:rPr>
        <w:t>每日融资利息</w:t>
      </w:r>
      <w:r>
        <w:rPr>
          <w:rFonts w:eastAsia="楷体_GB2312" w:hint="eastAsia"/>
          <w:szCs w:val="21"/>
        </w:rPr>
        <w:t>=</w:t>
      </w:r>
      <w:r>
        <w:rPr>
          <w:rFonts w:eastAsia="楷体_GB2312" w:hint="eastAsia"/>
          <w:szCs w:val="21"/>
        </w:rPr>
        <w:t>甲方实际占用的融资额度×融资日利率×</w:t>
      </w:r>
      <w:r>
        <w:rPr>
          <w:rFonts w:eastAsia="楷体_GB2312" w:hint="eastAsia"/>
          <w:szCs w:val="21"/>
        </w:rPr>
        <w:t>1</w:t>
      </w:r>
      <w:r>
        <w:rPr>
          <w:rFonts w:eastAsia="楷体_GB2312" w:hint="eastAsia"/>
          <w:szCs w:val="21"/>
        </w:rPr>
        <w:t>天</w:t>
      </w:r>
    </w:p>
    <w:p w14:paraId="5502F1E2" w14:textId="77777777" w:rsidR="002D3EC1" w:rsidRDefault="002D3EC1" w:rsidP="002D3EC1">
      <w:pPr>
        <w:spacing w:line="276" w:lineRule="auto"/>
        <w:ind w:left="560"/>
        <w:rPr>
          <w:rFonts w:eastAsia="楷体_GB2312"/>
          <w:szCs w:val="21"/>
        </w:rPr>
      </w:pPr>
      <w:r>
        <w:rPr>
          <w:rFonts w:eastAsia="楷体_GB2312" w:hint="eastAsia"/>
          <w:szCs w:val="21"/>
        </w:rPr>
        <w:t>其中：融资日利率</w:t>
      </w:r>
      <w:r>
        <w:rPr>
          <w:rFonts w:eastAsia="楷体_GB2312" w:hint="eastAsia"/>
          <w:szCs w:val="21"/>
        </w:rPr>
        <w:t>=</w:t>
      </w:r>
      <w:r>
        <w:rPr>
          <w:rFonts w:eastAsia="楷体_GB2312" w:hint="eastAsia"/>
          <w:szCs w:val="21"/>
        </w:rPr>
        <w:t>融资年利率</w:t>
      </w:r>
      <w:r>
        <w:rPr>
          <w:rFonts w:eastAsia="楷体_GB2312" w:hint="eastAsia"/>
          <w:szCs w:val="21"/>
        </w:rPr>
        <w:t>/360</w:t>
      </w:r>
    </w:p>
    <w:p w14:paraId="6D06538D" w14:textId="77777777" w:rsidR="002D3EC1" w:rsidRDefault="002D3EC1" w:rsidP="002D3EC1">
      <w:pPr>
        <w:numPr>
          <w:ilvl w:val="0"/>
          <w:numId w:val="12"/>
        </w:numPr>
        <w:spacing w:line="276" w:lineRule="auto"/>
        <w:ind w:left="0" w:firstLineChars="200" w:firstLine="420"/>
        <w:rPr>
          <w:rFonts w:eastAsia="楷体_GB2312"/>
          <w:szCs w:val="21"/>
        </w:rPr>
      </w:pPr>
      <w:r>
        <w:rPr>
          <w:rFonts w:eastAsia="楷体_GB2312" w:hint="eastAsia"/>
          <w:szCs w:val="21"/>
        </w:rPr>
        <w:t>甲方当日融资开仓且在当日归还部分或全部该笔融资负债的，乙方以当日最高占用融资额度为基数向甲方收取融资利息。</w:t>
      </w:r>
    </w:p>
    <w:p w14:paraId="26C02A02"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融券费率、融券费用及计算公式</w:t>
      </w:r>
    </w:p>
    <w:p w14:paraId="351843DA" w14:textId="77777777" w:rsidR="002D3EC1" w:rsidRDefault="002D3EC1" w:rsidP="002D3EC1">
      <w:pPr>
        <w:numPr>
          <w:ilvl w:val="0"/>
          <w:numId w:val="14"/>
        </w:numPr>
        <w:spacing w:line="276" w:lineRule="auto"/>
        <w:ind w:left="0" w:firstLineChars="200" w:firstLine="420"/>
        <w:rPr>
          <w:rFonts w:eastAsia="楷体_GB2312"/>
          <w:szCs w:val="21"/>
        </w:rPr>
      </w:pPr>
      <w:r>
        <w:rPr>
          <w:rFonts w:eastAsia="楷体_GB2312" w:hint="eastAsia"/>
          <w:szCs w:val="21"/>
        </w:rPr>
        <w:t>乙方确定的融券费率不低于中国人民银行规定的同期金融机构贷款基准利率。乙方确定、调整融券费率应在乙方网站、营业场所公告。</w:t>
      </w:r>
    </w:p>
    <w:p w14:paraId="7EEFD3B7" w14:textId="77777777" w:rsidR="002D3EC1" w:rsidRDefault="002D3EC1" w:rsidP="002D3EC1">
      <w:pPr>
        <w:numPr>
          <w:ilvl w:val="0"/>
          <w:numId w:val="15"/>
        </w:numPr>
        <w:spacing w:line="276" w:lineRule="auto"/>
        <w:ind w:leftChars="200" w:left="420"/>
        <w:rPr>
          <w:rFonts w:eastAsia="楷体_GB2312"/>
          <w:szCs w:val="21"/>
        </w:rPr>
      </w:pPr>
      <w:r>
        <w:rPr>
          <w:rFonts w:eastAsia="楷体_GB2312" w:hint="eastAsia"/>
          <w:szCs w:val="21"/>
        </w:rPr>
        <w:t>乙方根据甲方未了结融券市值，按自然日计提融券费用，甲方需在了结融券合</w:t>
      </w:r>
    </w:p>
    <w:p w14:paraId="519A054C" w14:textId="77777777" w:rsidR="002D3EC1" w:rsidRDefault="002D3EC1" w:rsidP="002D3EC1">
      <w:pPr>
        <w:spacing w:line="276" w:lineRule="auto"/>
        <w:rPr>
          <w:rFonts w:eastAsia="楷体_GB2312"/>
          <w:strike/>
          <w:color w:val="FF0000"/>
          <w:szCs w:val="21"/>
        </w:rPr>
      </w:pPr>
      <w:r>
        <w:rPr>
          <w:rFonts w:eastAsia="楷体_GB2312" w:hint="eastAsia"/>
          <w:szCs w:val="21"/>
        </w:rPr>
        <w:t>约时支付利息。</w:t>
      </w:r>
    </w:p>
    <w:p w14:paraId="1CCA0B27" w14:textId="77777777" w:rsidR="002D3EC1" w:rsidRDefault="002D3EC1" w:rsidP="002D3EC1">
      <w:pPr>
        <w:spacing w:line="276" w:lineRule="auto"/>
        <w:rPr>
          <w:rFonts w:eastAsia="楷体_GB2312"/>
          <w:szCs w:val="21"/>
        </w:rPr>
      </w:pPr>
      <w:r>
        <w:rPr>
          <w:rFonts w:eastAsia="楷体_GB2312" w:hint="eastAsia"/>
          <w:szCs w:val="21"/>
        </w:rPr>
        <w:t>每日融券费用</w:t>
      </w:r>
      <w:r>
        <w:rPr>
          <w:rFonts w:eastAsia="楷体_GB2312" w:hint="eastAsia"/>
          <w:szCs w:val="21"/>
        </w:rPr>
        <w:t>=</w:t>
      </w:r>
      <w:r>
        <w:rPr>
          <w:rFonts w:eastAsia="楷体_GB2312" w:hint="eastAsia"/>
          <w:szCs w:val="21"/>
        </w:rPr>
        <w:t>甲方尚未了结的融券市值×融券日费率×</w:t>
      </w:r>
      <w:r>
        <w:rPr>
          <w:rFonts w:eastAsia="楷体_GB2312" w:hint="eastAsia"/>
          <w:szCs w:val="21"/>
        </w:rPr>
        <w:t>1</w:t>
      </w:r>
      <w:r>
        <w:rPr>
          <w:rFonts w:eastAsia="楷体_GB2312" w:hint="eastAsia"/>
          <w:szCs w:val="21"/>
        </w:rPr>
        <w:t>天</w:t>
      </w:r>
    </w:p>
    <w:p w14:paraId="0E1AA925" w14:textId="77777777" w:rsidR="002D3EC1" w:rsidRDefault="002D3EC1" w:rsidP="002D3EC1">
      <w:pPr>
        <w:spacing w:line="276" w:lineRule="auto"/>
        <w:ind w:firstLineChars="200" w:firstLine="420"/>
        <w:rPr>
          <w:rFonts w:eastAsia="楷体_GB2312"/>
          <w:szCs w:val="21"/>
        </w:rPr>
      </w:pPr>
      <w:r>
        <w:rPr>
          <w:rFonts w:eastAsia="楷体_GB2312" w:hint="eastAsia"/>
          <w:szCs w:val="21"/>
        </w:rPr>
        <w:t>其中：融券日费率</w:t>
      </w:r>
      <w:r>
        <w:rPr>
          <w:rFonts w:eastAsia="楷体_GB2312" w:hint="eastAsia"/>
          <w:szCs w:val="21"/>
        </w:rPr>
        <w:t>=</w:t>
      </w:r>
      <w:r>
        <w:rPr>
          <w:rFonts w:eastAsia="楷体_GB2312" w:hint="eastAsia"/>
          <w:szCs w:val="21"/>
        </w:rPr>
        <w:t>融券年费率</w:t>
      </w:r>
      <w:r>
        <w:rPr>
          <w:rFonts w:eastAsia="楷体_GB2312" w:hint="eastAsia"/>
          <w:szCs w:val="21"/>
        </w:rPr>
        <w:t>/360</w:t>
      </w:r>
      <w:r>
        <w:rPr>
          <w:rFonts w:eastAsia="楷体_GB2312" w:hint="eastAsia"/>
          <w:szCs w:val="21"/>
        </w:rPr>
        <w:t>，融券市值</w:t>
      </w:r>
      <w:r>
        <w:rPr>
          <w:rFonts w:eastAsia="楷体_GB2312"/>
          <w:szCs w:val="21"/>
        </w:rPr>
        <w:t>=</w:t>
      </w:r>
      <w:r>
        <w:rPr>
          <w:rFonts w:eastAsia="楷体_GB2312" w:hint="eastAsia"/>
          <w:szCs w:val="21"/>
        </w:rPr>
        <w:t>尚未了结融券数量×证券收盘价格，若该证券停牌，则证券收盘价格为停牌前一交易日的收盘价格。</w:t>
      </w:r>
    </w:p>
    <w:p w14:paraId="2FD798FB" w14:textId="77777777" w:rsidR="002D3EC1" w:rsidRDefault="002D3EC1" w:rsidP="002D3EC1">
      <w:pPr>
        <w:numPr>
          <w:ilvl w:val="0"/>
          <w:numId w:val="14"/>
        </w:numPr>
        <w:spacing w:line="276" w:lineRule="auto"/>
        <w:ind w:left="0" w:firstLineChars="200" w:firstLine="420"/>
        <w:rPr>
          <w:rFonts w:eastAsia="楷体_GB2312"/>
          <w:szCs w:val="21"/>
        </w:rPr>
      </w:pPr>
      <w:r>
        <w:rPr>
          <w:rFonts w:eastAsia="楷体_GB2312" w:hint="eastAsia"/>
          <w:szCs w:val="21"/>
        </w:rPr>
        <w:t>甲方当日融券开仓且在当日归还部分或全部该笔融券负债的，乙方以当日最高融券数量与该证券收盘价格的乘积为基数收取融券费用。</w:t>
      </w:r>
    </w:p>
    <w:p w14:paraId="7D1492EC" w14:textId="77777777" w:rsidR="002D3EC1" w:rsidRDefault="002D3EC1" w:rsidP="002D3EC1">
      <w:pPr>
        <w:numPr>
          <w:ilvl w:val="0"/>
          <w:numId w:val="2"/>
        </w:numPr>
        <w:spacing w:line="276" w:lineRule="auto"/>
        <w:ind w:left="0" w:firstLineChars="200" w:firstLine="420"/>
        <w:rPr>
          <w:rFonts w:eastAsia="楷体_GB2312"/>
          <w:szCs w:val="21"/>
        </w:rPr>
      </w:pPr>
      <w:r>
        <w:rPr>
          <w:rFonts w:eastAsia="楷体_GB2312" w:hint="eastAsia"/>
          <w:szCs w:val="21"/>
        </w:rPr>
        <w:t>罚息</w:t>
      </w:r>
    </w:p>
    <w:p w14:paraId="19555B5A" w14:textId="77777777" w:rsidR="002D3EC1" w:rsidRDefault="002D3EC1" w:rsidP="002D3EC1">
      <w:pPr>
        <w:spacing w:line="276" w:lineRule="auto"/>
        <w:ind w:firstLineChars="200" w:firstLine="420"/>
        <w:rPr>
          <w:rFonts w:eastAsia="楷体_GB2312"/>
          <w:szCs w:val="21"/>
        </w:rPr>
      </w:pPr>
      <w:r>
        <w:rPr>
          <w:rFonts w:eastAsia="楷体_GB2312" w:hint="eastAsia"/>
          <w:szCs w:val="21"/>
        </w:rPr>
        <w:t>甲方在融资融券交易期间未按时偿还融资负债、融券负债，或乙方按本合同约定扣收甲方信用账户资金、甲方信用账户资金不足的，乙方从上述情形发生日的下一个自然日起向甲方收取罚息。</w:t>
      </w:r>
    </w:p>
    <w:p w14:paraId="7A9E49A8" w14:textId="77777777" w:rsidR="002D3EC1" w:rsidRDefault="002D3EC1" w:rsidP="002D3EC1">
      <w:pPr>
        <w:spacing w:line="276" w:lineRule="auto"/>
        <w:ind w:firstLineChars="200" w:firstLine="420"/>
        <w:rPr>
          <w:rFonts w:eastAsia="楷体_GB2312"/>
          <w:szCs w:val="21"/>
        </w:rPr>
      </w:pPr>
      <w:r>
        <w:rPr>
          <w:rFonts w:eastAsia="楷体_GB2312" w:hint="eastAsia"/>
          <w:szCs w:val="21"/>
        </w:rPr>
        <w:t>乙方有权在合法的前提下确定并随时调整对甲方的罚息率，</w:t>
      </w:r>
      <w:r>
        <w:rPr>
          <w:rFonts w:ascii="宋体" w:eastAsia="楷体_GB2312" w:hAnsi="宋体" w:hint="eastAsia"/>
          <w:szCs w:val="21"/>
        </w:rPr>
        <w:t>并在乙方网站及其营业场所公告。</w:t>
      </w:r>
    </w:p>
    <w:p w14:paraId="257CBA8D"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融资融券交易</w:t>
      </w:r>
    </w:p>
    <w:p w14:paraId="3D0D8B44"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甲方应在证券交易所及乙方规定的标的证券范围内进行融资融券交易；甲</w:t>
      </w:r>
      <w:r>
        <w:rPr>
          <w:rFonts w:eastAsia="楷体_GB2312" w:hint="eastAsia"/>
          <w:szCs w:val="21"/>
        </w:rPr>
        <w:lastRenderedPageBreak/>
        <w:t>方发出的超出乙方规定的标的证券范围的交易指令，乙方有权拒绝执行。</w:t>
      </w:r>
    </w:p>
    <w:p w14:paraId="4BA47396"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甲方提交融券卖出交易指令，乙方所持相关标的证券余额不足的，乙方有权拒绝执行该指令。</w:t>
      </w:r>
    </w:p>
    <w:p w14:paraId="7EF3310F"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甲方提交的交易指令，将使乙方融资、融券规模超过乙方确定的融资、融券规模上限的，乙方有权拒绝执行该指令。</w:t>
      </w:r>
    </w:p>
    <w:p w14:paraId="52ADF80C"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甲方融券卖出的申报价格不得低于该证券的最新成交价；当天没有产生成交的，申报价格不得低于其前收盘价。甲方应自行承担因申报价格不符合相关规定所产生的损失。</w:t>
      </w:r>
    </w:p>
    <w:p w14:paraId="7711B7E7" w14:textId="77777777" w:rsidR="002D3EC1" w:rsidRDefault="002D3EC1" w:rsidP="002D3EC1">
      <w:pPr>
        <w:spacing w:line="276" w:lineRule="auto"/>
        <w:ind w:firstLineChars="200" w:firstLine="420"/>
        <w:rPr>
          <w:rFonts w:eastAsia="楷体_GB2312"/>
          <w:szCs w:val="21"/>
        </w:rPr>
      </w:pPr>
      <w:r>
        <w:rPr>
          <w:rFonts w:eastAsia="楷体_GB2312" w:hint="eastAsia"/>
          <w:szCs w:val="21"/>
        </w:rPr>
        <w:t>融券期间，甲方通过其所有或其控制的证券账户持有与融券卖出标的相同证券的，卖出该证券的价格应遵守前款规定，但超过融券数量的部分除外。甲方应当自该事实发生之日起三个交易日内向乙方申报。乙方</w:t>
      </w:r>
      <w:r>
        <w:rPr>
          <w:rFonts w:eastAsia="楷体_GB2312" w:hint="eastAsia"/>
          <w:color w:val="000000"/>
          <w:szCs w:val="21"/>
        </w:rPr>
        <w:t>将按甲方申报的情况按月报送相关证券交易所。</w:t>
      </w:r>
    </w:p>
    <w:p w14:paraId="7DC9070F"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甲方信用账户的保证金可用余额小于或等于零时不能进行普通买入、融资买入和融券卖出。</w:t>
      </w:r>
    </w:p>
    <w:p w14:paraId="2420CB41"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甲方通过其信用账户提交普通买入指令所占用的资金不得超出保证金可用余额中的现金部分，拟买入的证券不得超出可充抵保证金的证券范围，否则该普通买入指令无效。</w:t>
      </w:r>
    </w:p>
    <w:p w14:paraId="19223962" w14:textId="77777777" w:rsidR="002D3EC1" w:rsidRPr="00127E38" w:rsidRDefault="002D3EC1" w:rsidP="002D3EC1">
      <w:pPr>
        <w:numPr>
          <w:ilvl w:val="0"/>
          <w:numId w:val="16"/>
        </w:numPr>
        <w:spacing w:line="276" w:lineRule="auto"/>
        <w:ind w:left="0" w:firstLineChars="200" w:firstLine="420"/>
        <w:rPr>
          <w:rFonts w:eastAsia="楷体_GB2312"/>
          <w:szCs w:val="21"/>
        </w:rPr>
      </w:pPr>
      <w:r w:rsidRPr="00127E38">
        <w:rPr>
          <w:rFonts w:eastAsia="楷体_GB2312" w:hint="eastAsia"/>
          <w:szCs w:val="21"/>
        </w:rPr>
        <w:t>甲方卖出信用证券账户中融资买入尚未了结合约的证券所得价款，应当先偿还甲方融资欠款；甲方未了结相关融券交易前，融券卖出所得资金除买券还券外不得另作他用。</w:t>
      </w:r>
    </w:p>
    <w:p w14:paraId="510023FD"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甲方不得通过其信用账户从事债券回购交易或预受要约，乙方有权拒绝相关指令。</w:t>
      </w:r>
    </w:p>
    <w:p w14:paraId="0D719461"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乙双方同意，甲方信用账户在融资融券交易过程中发生的成交记录，作为双方融资融券业务债权债务关系的证明，为本合同合法有效的组成部分，该成交记录以乙方融资融券系统数据中所保存的数据电文内容为准。一切使用甲方交易密码进行、并符合相关规定的融资融券电子委托指令，均视为甲方的有效委托，甲方对该等电子委托指令的结果全部予以认可并自愿承担全部的相关法律责任。</w:t>
      </w:r>
    </w:p>
    <w:p w14:paraId="5955FD31"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甲方应妥善保管信用账户卡、身份证件和交易密码等资料，不得将信用账户、身份证件、交易密码等出借给他人使用。</w:t>
      </w:r>
    </w:p>
    <w:p w14:paraId="52DF243B"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乙方为甲方建立融资融券交易明细账，如实记载甲方融资融券交易的情况，供甲方查询。</w:t>
      </w:r>
    </w:p>
    <w:p w14:paraId="557DC6B2"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可以申请将证券在其普通证券账户和信用证券账户之间进行划转。如甲方委托划转的数量大于该证券账户中可划出的数量，则视为甲方指令无效，由此产生的后果由甲方承担。如甲方采用还券划转方式偿还融券负债，多划转部分由乙方采用余券划转方式划转回甲方信用证券账户。</w:t>
      </w:r>
    </w:p>
    <w:p w14:paraId="553C7DA5"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乙方有权根据法律法规及监管要求，对甲方的异常交易行为进行监控并向监管部门、证券交易所报告，并按照其要求采取限制甲方相关证券账户交易等措施，甲方应当予以配合。甲方因异常交易行为而被采取限制措施的，自行承担相关损失和后果。</w:t>
      </w:r>
    </w:p>
    <w:p w14:paraId="0CACFAC3"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甲方发出融资融券交易相关指令，应当遵守法律、行政法规、规章、规范性文件、证券交易所或证券登记结算机构相关规则的要求，否则乙方有权拒绝执行。</w:t>
      </w:r>
    </w:p>
    <w:p w14:paraId="631CB9D1" w14:textId="77777777" w:rsidR="00A77DD0" w:rsidRDefault="00A77DD0" w:rsidP="00A77DD0">
      <w:pPr>
        <w:spacing w:line="276" w:lineRule="auto"/>
        <w:rPr>
          <w:rFonts w:eastAsia="楷体_GB2312"/>
          <w:szCs w:val="21"/>
        </w:rPr>
      </w:pPr>
    </w:p>
    <w:p w14:paraId="601182DB" w14:textId="77777777" w:rsidR="00A77DD0" w:rsidRDefault="00A77DD0" w:rsidP="00A77DD0">
      <w:pPr>
        <w:spacing w:line="276" w:lineRule="auto"/>
        <w:rPr>
          <w:rFonts w:eastAsia="楷体_GB2312"/>
          <w:szCs w:val="21"/>
        </w:rPr>
      </w:pPr>
    </w:p>
    <w:p w14:paraId="1AD5F609"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追加担保物及强制平仓</w:t>
      </w:r>
    </w:p>
    <w:p w14:paraId="1D4C6F05" w14:textId="77777777" w:rsidR="002D3EC1" w:rsidRPr="00070550" w:rsidRDefault="002D3EC1" w:rsidP="002D3EC1">
      <w:pPr>
        <w:numPr>
          <w:ilvl w:val="0"/>
          <w:numId w:val="16"/>
        </w:numPr>
        <w:spacing w:line="276" w:lineRule="auto"/>
        <w:ind w:left="0" w:firstLineChars="200" w:firstLine="420"/>
        <w:rPr>
          <w:rFonts w:eastAsia="楷体_GB2312"/>
          <w:szCs w:val="21"/>
        </w:rPr>
      </w:pPr>
      <w:r w:rsidRPr="00070550">
        <w:rPr>
          <w:rFonts w:eastAsia="楷体_GB2312" w:hint="eastAsia"/>
          <w:szCs w:val="21"/>
        </w:rPr>
        <w:t>追加担保物</w:t>
      </w:r>
    </w:p>
    <w:p w14:paraId="184BCBB1" w14:textId="0BBC3BE9" w:rsidR="002D3EC1" w:rsidRPr="00070550" w:rsidRDefault="00080D22" w:rsidP="002D3EC1">
      <w:pPr>
        <w:spacing w:line="276" w:lineRule="auto"/>
        <w:ind w:firstLineChars="200" w:firstLine="420"/>
        <w:rPr>
          <w:rFonts w:eastAsia="楷体_GB2312"/>
          <w:szCs w:val="21"/>
        </w:rPr>
      </w:pPr>
      <w:r w:rsidRPr="00070550">
        <w:rPr>
          <w:rFonts w:eastAsia="楷体_GB2312" w:hint="eastAsia"/>
          <w:szCs w:val="21"/>
        </w:rPr>
        <w:t>当甲方信用账户当日（</w:t>
      </w:r>
      <w:r w:rsidRPr="00070550">
        <w:rPr>
          <w:rFonts w:eastAsia="楷体_GB2312"/>
          <w:szCs w:val="21"/>
        </w:rPr>
        <w:t>T</w:t>
      </w:r>
      <w:r w:rsidRPr="00070550">
        <w:rPr>
          <w:rFonts w:eastAsia="楷体_GB2312" w:hint="eastAsia"/>
          <w:szCs w:val="21"/>
        </w:rPr>
        <w:t>日）日终清算后维持担保比例低于平仓线时，乙方按本合同约定的通知方式通知甲方追加担保物，甲方应在</w:t>
      </w:r>
      <w:r w:rsidRPr="00070550">
        <w:rPr>
          <w:rFonts w:eastAsia="楷体_GB2312"/>
          <w:b/>
          <w:szCs w:val="21"/>
        </w:rPr>
        <w:t>T+</w:t>
      </w:r>
      <w:r w:rsidRPr="00070550">
        <w:rPr>
          <w:rFonts w:eastAsia="楷体_GB2312" w:hint="eastAsia"/>
          <w:b/>
          <w:szCs w:val="21"/>
        </w:rPr>
        <w:t>2</w:t>
      </w:r>
      <w:r w:rsidRPr="00070550">
        <w:rPr>
          <w:rFonts w:eastAsia="楷体_GB2312" w:hint="eastAsia"/>
          <w:szCs w:val="21"/>
        </w:rPr>
        <w:t>个交易日内及时追加担保物，追加后的维持担保比例不得低于平仓线。</w:t>
      </w:r>
    </w:p>
    <w:p w14:paraId="2ED1F39C" w14:textId="77777777" w:rsidR="002D3EC1" w:rsidRPr="00070550" w:rsidRDefault="002D3EC1" w:rsidP="00080D22">
      <w:pPr>
        <w:numPr>
          <w:ilvl w:val="0"/>
          <w:numId w:val="16"/>
        </w:numPr>
        <w:spacing w:line="276" w:lineRule="auto"/>
        <w:ind w:left="0" w:firstLineChars="200" w:firstLine="420"/>
        <w:rPr>
          <w:rFonts w:eastAsia="楷体_GB2312"/>
          <w:szCs w:val="21"/>
        </w:rPr>
      </w:pPr>
      <w:bookmarkStart w:id="2" w:name="_Ref271786018"/>
      <w:r w:rsidRPr="00070550">
        <w:rPr>
          <w:rFonts w:eastAsia="楷体_GB2312" w:hint="eastAsia"/>
          <w:szCs w:val="21"/>
        </w:rPr>
        <w:t>强制平仓</w:t>
      </w:r>
      <w:bookmarkEnd w:id="2"/>
    </w:p>
    <w:p w14:paraId="477B64E3" w14:textId="06969408" w:rsidR="002D3EC1" w:rsidRPr="00070550" w:rsidRDefault="00080D22" w:rsidP="002D3EC1">
      <w:pPr>
        <w:numPr>
          <w:ilvl w:val="0"/>
          <w:numId w:val="17"/>
        </w:numPr>
        <w:spacing w:line="276" w:lineRule="auto"/>
        <w:ind w:left="0" w:firstLineChars="200" w:firstLine="420"/>
        <w:rPr>
          <w:rFonts w:eastAsia="楷体_GB2312"/>
          <w:szCs w:val="21"/>
        </w:rPr>
      </w:pPr>
      <w:r w:rsidRPr="00070550">
        <w:rPr>
          <w:rFonts w:eastAsia="楷体_GB2312" w:hint="eastAsia"/>
          <w:szCs w:val="21"/>
        </w:rPr>
        <w:t>当甲方信用账户当日（</w:t>
      </w:r>
      <w:r w:rsidRPr="00070550">
        <w:rPr>
          <w:rFonts w:eastAsia="楷体_GB2312"/>
          <w:szCs w:val="21"/>
        </w:rPr>
        <w:t>T</w:t>
      </w:r>
      <w:r w:rsidRPr="00070550">
        <w:rPr>
          <w:rFonts w:eastAsia="楷体_GB2312" w:hint="eastAsia"/>
          <w:szCs w:val="21"/>
        </w:rPr>
        <w:t>日）日终清算后维持担保比例低于平仓线时，甲方未在</w:t>
      </w:r>
      <w:r w:rsidRPr="00070550">
        <w:rPr>
          <w:rFonts w:eastAsia="楷体_GB2312"/>
          <w:b/>
          <w:szCs w:val="21"/>
        </w:rPr>
        <w:t>T+</w:t>
      </w:r>
      <w:r w:rsidRPr="00070550">
        <w:rPr>
          <w:rFonts w:eastAsia="楷体_GB2312" w:hint="eastAsia"/>
          <w:b/>
          <w:szCs w:val="21"/>
        </w:rPr>
        <w:t>2</w:t>
      </w:r>
      <w:r w:rsidRPr="00070550">
        <w:rPr>
          <w:rFonts w:eastAsia="楷体_GB2312" w:hint="eastAsia"/>
          <w:szCs w:val="21"/>
        </w:rPr>
        <w:t>个交易日内追加担保物使维持担保比例达到平仓线以上的，则乙方将在</w:t>
      </w:r>
      <w:r w:rsidRPr="00070550">
        <w:rPr>
          <w:rFonts w:eastAsia="楷体_GB2312"/>
          <w:b/>
          <w:szCs w:val="21"/>
        </w:rPr>
        <w:t>T+</w:t>
      </w:r>
      <w:r w:rsidRPr="00070550">
        <w:rPr>
          <w:rFonts w:eastAsia="楷体_GB2312" w:hint="eastAsia"/>
          <w:b/>
          <w:szCs w:val="21"/>
        </w:rPr>
        <w:t>3</w:t>
      </w:r>
      <w:r w:rsidRPr="00070550">
        <w:rPr>
          <w:rFonts w:eastAsia="楷体_GB2312" w:hint="eastAsia"/>
          <w:szCs w:val="21"/>
        </w:rPr>
        <w:t>个交易日对甲方实施强制平仓，强制平仓后维持担保比例不低于预警线。</w:t>
      </w:r>
    </w:p>
    <w:p w14:paraId="63DA41AA" w14:textId="77777777" w:rsidR="002D3EC1" w:rsidRPr="00D24EB8" w:rsidRDefault="002D3EC1" w:rsidP="002D3EC1">
      <w:pPr>
        <w:numPr>
          <w:ilvl w:val="0"/>
          <w:numId w:val="17"/>
        </w:numPr>
        <w:spacing w:line="276" w:lineRule="auto"/>
        <w:ind w:left="0" w:firstLineChars="200" w:firstLine="420"/>
        <w:rPr>
          <w:rFonts w:eastAsia="楷体_GB2312"/>
          <w:szCs w:val="21"/>
        </w:rPr>
      </w:pPr>
      <w:r w:rsidRPr="00D24EB8">
        <w:rPr>
          <w:rFonts w:eastAsia="楷体_GB2312" w:hint="eastAsia"/>
          <w:szCs w:val="21"/>
        </w:rPr>
        <w:t>当甲方融资融券债务到期时未按时偿还融资融券负债，乙方将在融资融券债务到期日下一交易日对甲方实施强制平仓收回相应债权。</w:t>
      </w:r>
    </w:p>
    <w:p w14:paraId="4715F17F" w14:textId="77777777" w:rsidR="002D3EC1" w:rsidRDefault="002D3EC1" w:rsidP="002D3EC1">
      <w:pPr>
        <w:numPr>
          <w:ilvl w:val="0"/>
          <w:numId w:val="17"/>
        </w:numPr>
        <w:spacing w:line="276" w:lineRule="auto"/>
        <w:ind w:left="0" w:firstLineChars="200" w:firstLine="420"/>
        <w:rPr>
          <w:rFonts w:eastAsia="楷体_GB2312"/>
          <w:szCs w:val="21"/>
        </w:rPr>
      </w:pPr>
      <w:r>
        <w:rPr>
          <w:rFonts w:eastAsia="楷体_GB2312" w:hint="eastAsia"/>
          <w:szCs w:val="21"/>
        </w:rPr>
        <w:t>当甲方融资融券合同到期时未按时偿还融资融券负债，乙方将在融资融券合同到期日下一交易日对甲方实施强制平仓收回相应债权。</w:t>
      </w:r>
    </w:p>
    <w:p w14:paraId="2FDE6DB4" w14:textId="77777777" w:rsidR="002D3EC1" w:rsidRDefault="002D3EC1" w:rsidP="002D3EC1">
      <w:pPr>
        <w:numPr>
          <w:ilvl w:val="0"/>
          <w:numId w:val="17"/>
        </w:numPr>
        <w:spacing w:line="276" w:lineRule="auto"/>
        <w:ind w:left="0" w:firstLineChars="202" w:firstLine="424"/>
        <w:rPr>
          <w:rFonts w:eastAsia="楷体_GB2312"/>
          <w:szCs w:val="21"/>
        </w:rPr>
      </w:pPr>
      <w:r>
        <w:rPr>
          <w:rFonts w:eastAsia="楷体_GB2312" w:hint="eastAsia"/>
          <w:szCs w:val="21"/>
        </w:rPr>
        <w:t>当甲方出现违反承诺、监管要求</w:t>
      </w:r>
      <w:r>
        <w:rPr>
          <w:rFonts w:ascii="宋体" w:eastAsia="楷体_GB2312" w:hAnsi="宋体" w:hint="eastAsia"/>
          <w:szCs w:val="21"/>
        </w:rPr>
        <w:t>、不再具备开户资格、资信状况急剧恶化等严重影响甲方偿债能力</w:t>
      </w:r>
      <w:r>
        <w:rPr>
          <w:rFonts w:eastAsia="楷体_GB2312" w:hint="eastAsia"/>
          <w:szCs w:val="21"/>
        </w:rPr>
        <w:t>等情形，乙方有权在发现以上情形的下一交易日对甲方实施强制平仓收回相应债权。</w:t>
      </w:r>
    </w:p>
    <w:p w14:paraId="032360B2" w14:textId="77777777" w:rsidR="002D3EC1" w:rsidRDefault="002D3EC1" w:rsidP="002D3EC1">
      <w:pPr>
        <w:numPr>
          <w:ilvl w:val="0"/>
          <w:numId w:val="17"/>
        </w:numPr>
        <w:spacing w:line="276" w:lineRule="auto"/>
        <w:ind w:left="0" w:firstLineChars="202" w:firstLine="424"/>
        <w:rPr>
          <w:rFonts w:eastAsia="楷体_GB2312"/>
          <w:szCs w:val="21"/>
        </w:rPr>
      </w:pPr>
      <w:r>
        <w:rPr>
          <w:rFonts w:ascii="宋体" w:eastAsia="楷体_GB2312" w:hAnsi="宋体" w:hint="eastAsia"/>
          <w:szCs w:val="21"/>
        </w:rPr>
        <w:t>因国家有权机关依法对甲方信用证券账户记载的权益采取财产保全或强制执行措施、甲方信用证券账户记载的权益被继承、财产分割、遗赠或赠与等其他情形触发的强制平仓按本合同第十一章相关条款处理。</w:t>
      </w:r>
    </w:p>
    <w:p w14:paraId="7F413905"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在乙方实施强制平仓过程中，乙方有权限制甲方对其信用账户的委托及其他操作。</w:t>
      </w:r>
    </w:p>
    <w:p w14:paraId="0435630B"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乙方实施强制平仓时，如遇甲方信用账户中的证券处于暂停交易或其他无法买卖的状态，乙方有权要求甲方以现金方式偿还融资融券债务或顺延强制平仓操作至交易恢复后。</w:t>
      </w:r>
    </w:p>
    <w:p w14:paraId="0F254888"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乙方有权在满足强制平仓条件之日起至乙方债权获得完全清偿之日止，对甲方实施强制平仓，即使强制平仓实施过程中甲方信用账户状态已不符合强制平仓条件，如因证券市场价格变动导致甲方信用账户维持担保比例回升至警戒线以上等情况。</w:t>
      </w:r>
    </w:p>
    <w:p w14:paraId="245C5157"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甲方达到强制平仓条件，乙方可以按照以下原则进行平仓处理：</w:t>
      </w:r>
    </w:p>
    <w:p w14:paraId="04A93879" w14:textId="77777777" w:rsidR="002D3EC1" w:rsidRDefault="002D3EC1" w:rsidP="002D3EC1">
      <w:pPr>
        <w:numPr>
          <w:ilvl w:val="0"/>
          <w:numId w:val="18"/>
        </w:numPr>
        <w:spacing w:line="276" w:lineRule="auto"/>
        <w:rPr>
          <w:rFonts w:eastAsia="楷体_GB2312"/>
          <w:szCs w:val="21"/>
        </w:rPr>
      </w:pPr>
      <w:r>
        <w:rPr>
          <w:rFonts w:eastAsia="楷体_GB2312" w:hint="eastAsia"/>
          <w:szCs w:val="21"/>
        </w:rPr>
        <w:t>平仓顺序：</w:t>
      </w:r>
    </w:p>
    <w:p w14:paraId="6AE82078" w14:textId="77777777" w:rsidR="002D3EC1" w:rsidRDefault="002D3EC1" w:rsidP="002D3EC1">
      <w:pPr>
        <w:numPr>
          <w:ilvl w:val="0"/>
          <w:numId w:val="19"/>
        </w:numPr>
        <w:spacing w:line="276" w:lineRule="auto"/>
        <w:ind w:left="0" w:firstLineChars="200" w:firstLine="420"/>
        <w:rPr>
          <w:rFonts w:eastAsia="楷体_GB2312"/>
          <w:szCs w:val="21"/>
        </w:rPr>
      </w:pPr>
      <w:r>
        <w:rPr>
          <w:rFonts w:eastAsia="楷体_GB2312" w:hint="eastAsia"/>
          <w:szCs w:val="21"/>
        </w:rPr>
        <w:t>先对甲方融资交易平仓，后对融券交易平仓。</w:t>
      </w:r>
    </w:p>
    <w:p w14:paraId="6632835E" w14:textId="77777777" w:rsidR="002D3EC1" w:rsidRDefault="002D3EC1" w:rsidP="002D3EC1">
      <w:pPr>
        <w:numPr>
          <w:ilvl w:val="0"/>
          <w:numId w:val="19"/>
        </w:numPr>
        <w:spacing w:line="276" w:lineRule="auto"/>
        <w:ind w:left="0" w:firstLineChars="200" w:firstLine="420"/>
        <w:rPr>
          <w:rFonts w:eastAsia="楷体_GB2312"/>
          <w:szCs w:val="21"/>
        </w:rPr>
      </w:pPr>
      <w:r>
        <w:rPr>
          <w:rFonts w:eastAsia="楷体_GB2312" w:hint="eastAsia"/>
          <w:szCs w:val="21"/>
        </w:rPr>
        <w:t>实施平仓过程中，需要卖出甲方信用证券账户证券的，按照以下顺序执行卖出操作：</w:t>
      </w:r>
    </w:p>
    <w:p w14:paraId="3AE69D04" w14:textId="77777777" w:rsidR="002D3EC1" w:rsidRDefault="002D3EC1" w:rsidP="002D3EC1">
      <w:pPr>
        <w:spacing w:line="276" w:lineRule="auto"/>
        <w:ind w:firstLineChars="200" w:firstLine="420"/>
        <w:rPr>
          <w:rFonts w:eastAsia="楷体_GB2312"/>
          <w:szCs w:val="21"/>
        </w:rPr>
      </w:pPr>
      <w:r>
        <w:rPr>
          <w:rFonts w:eastAsia="楷体_GB2312" w:hint="eastAsia"/>
          <w:szCs w:val="21"/>
        </w:rPr>
        <w:t>（</w:t>
      </w:r>
      <w:r>
        <w:rPr>
          <w:rFonts w:eastAsia="楷体_GB2312"/>
          <w:szCs w:val="21"/>
        </w:rPr>
        <w:t>1</w:t>
      </w:r>
      <w:r>
        <w:rPr>
          <w:rFonts w:eastAsia="楷体_GB2312" w:hint="eastAsia"/>
          <w:szCs w:val="21"/>
        </w:rPr>
        <w:t>）按证券品种优先卖出原则，国债、其他债券、基金、股票；</w:t>
      </w:r>
    </w:p>
    <w:p w14:paraId="3C228390" w14:textId="77777777" w:rsidR="002D3EC1" w:rsidRDefault="002D3EC1" w:rsidP="002D3EC1">
      <w:pPr>
        <w:spacing w:line="276" w:lineRule="auto"/>
        <w:ind w:firstLineChars="200" w:firstLine="420"/>
        <w:rPr>
          <w:rFonts w:eastAsia="楷体_GB2312"/>
          <w:szCs w:val="21"/>
        </w:rPr>
      </w:pPr>
      <w:r>
        <w:rPr>
          <w:rFonts w:eastAsia="楷体_GB2312" w:hint="eastAsia"/>
          <w:szCs w:val="21"/>
        </w:rPr>
        <w:t>（</w:t>
      </w:r>
      <w:r>
        <w:rPr>
          <w:rFonts w:eastAsia="楷体_GB2312"/>
          <w:szCs w:val="21"/>
        </w:rPr>
        <w:t>2</w:t>
      </w:r>
      <w:r>
        <w:rPr>
          <w:rFonts w:eastAsia="楷体_GB2312" w:hint="eastAsia"/>
          <w:szCs w:val="21"/>
        </w:rPr>
        <w:t>）同一证券品种按折算率从高到低；</w:t>
      </w:r>
    </w:p>
    <w:p w14:paraId="131DEE60" w14:textId="77777777" w:rsidR="002D3EC1" w:rsidRDefault="002D3EC1" w:rsidP="002D3EC1">
      <w:pPr>
        <w:spacing w:line="276" w:lineRule="auto"/>
        <w:ind w:firstLineChars="200" w:firstLine="420"/>
        <w:rPr>
          <w:rFonts w:eastAsia="楷体_GB2312"/>
          <w:szCs w:val="21"/>
        </w:rPr>
      </w:pPr>
      <w:r>
        <w:rPr>
          <w:rFonts w:eastAsia="楷体_GB2312" w:hint="eastAsia"/>
          <w:szCs w:val="21"/>
        </w:rPr>
        <w:t>（</w:t>
      </w:r>
      <w:r>
        <w:rPr>
          <w:rFonts w:eastAsia="楷体_GB2312"/>
          <w:szCs w:val="21"/>
        </w:rPr>
        <w:t>3</w:t>
      </w:r>
      <w:r>
        <w:rPr>
          <w:rFonts w:eastAsia="楷体_GB2312" w:hint="eastAsia"/>
          <w:szCs w:val="21"/>
        </w:rPr>
        <w:t>）品种相同、折算率相同按市值从高到低；</w:t>
      </w:r>
    </w:p>
    <w:p w14:paraId="7E4EA227" w14:textId="77777777" w:rsidR="002D3EC1" w:rsidRDefault="002D3EC1" w:rsidP="002D3EC1">
      <w:pPr>
        <w:spacing w:line="276" w:lineRule="auto"/>
        <w:ind w:firstLineChars="200" w:firstLine="420"/>
        <w:rPr>
          <w:rFonts w:eastAsia="楷体_GB2312"/>
          <w:szCs w:val="21"/>
        </w:rPr>
      </w:pPr>
      <w:r>
        <w:rPr>
          <w:rFonts w:eastAsia="楷体_GB2312" w:hint="eastAsia"/>
          <w:szCs w:val="21"/>
        </w:rPr>
        <w:t>（</w:t>
      </w:r>
      <w:r>
        <w:rPr>
          <w:rFonts w:eastAsia="楷体_GB2312"/>
          <w:szCs w:val="21"/>
        </w:rPr>
        <w:t>4</w:t>
      </w:r>
      <w:r>
        <w:rPr>
          <w:rFonts w:eastAsia="楷体_GB2312" w:hint="eastAsia"/>
          <w:szCs w:val="21"/>
        </w:rPr>
        <w:t>）品种、折算率、市值均相同的按前一交易日证券收盘时涨跌幅从高到低。</w:t>
      </w:r>
    </w:p>
    <w:p w14:paraId="29AFA4BC" w14:textId="77777777" w:rsidR="002D3EC1" w:rsidRDefault="002D3EC1" w:rsidP="002D3EC1">
      <w:pPr>
        <w:numPr>
          <w:ilvl w:val="0"/>
          <w:numId w:val="18"/>
        </w:numPr>
        <w:spacing w:line="276" w:lineRule="auto"/>
        <w:ind w:left="0" w:firstLineChars="200" w:firstLine="420"/>
        <w:rPr>
          <w:rFonts w:eastAsia="楷体_GB2312"/>
          <w:szCs w:val="21"/>
        </w:rPr>
      </w:pPr>
      <w:r>
        <w:rPr>
          <w:rFonts w:eastAsia="楷体_GB2312" w:hint="eastAsia"/>
          <w:szCs w:val="21"/>
        </w:rPr>
        <w:t>卖出证券时，价格策略为市价委托。</w:t>
      </w:r>
    </w:p>
    <w:p w14:paraId="524F8FCC" w14:textId="77777777" w:rsidR="002D3EC1" w:rsidRDefault="002D3EC1" w:rsidP="002D3EC1">
      <w:pPr>
        <w:numPr>
          <w:ilvl w:val="0"/>
          <w:numId w:val="18"/>
        </w:numPr>
        <w:spacing w:line="276" w:lineRule="auto"/>
        <w:ind w:left="0" w:firstLineChars="200" w:firstLine="420"/>
        <w:rPr>
          <w:rFonts w:eastAsia="楷体_GB2312"/>
          <w:szCs w:val="21"/>
        </w:rPr>
      </w:pPr>
      <w:r>
        <w:rPr>
          <w:rFonts w:eastAsia="楷体_GB2312" w:hint="eastAsia"/>
          <w:szCs w:val="21"/>
        </w:rPr>
        <w:lastRenderedPageBreak/>
        <w:t>融资平仓：首先采用直接还款的方式，直接还款后仍不足的，剩余部分采用卖券还款的方式。</w:t>
      </w:r>
    </w:p>
    <w:p w14:paraId="514C543C" w14:textId="77777777" w:rsidR="002D3EC1" w:rsidRDefault="002D3EC1" w:rsidP="002D3EC1">
      <w:pPr>
        <w:numPr>
          <w:ilvl w:val="0"/>
          <w:numId w:val="18"/>
        </w:numPr>
        <w:spacing w:line="276" w:lineRule="auto"/>
        <w:ind w:left="0" w:firstLineChars="200" w:firstLine="420"/>
        <w:rPr>
          <w:rFonts w:eastAsia="楷体_GB2312"/>
          <w:szCs w:val="21"/>
        </w:rPr>
      </w:pPr>
      <w:r>
        <w:rPr>
          <w:rFonts w:eastAsia="楷体_GB2312" w:hint="eastAsia"/>
          <w:szCs w:val="21"/>
        </w:rPr>
        <w:t>融券平仓：首先采用直接还券的方式，直接还券后仍不足的，剩余部分采用买券还券的方式。采用买券还券方式的，首先使用担保物中的现金买券还券，现金买券还券后仍不足的，剩余部分采用卖出担保物内证券后再买券还券的方式。</w:t>
      </w:r>
    </w:p>
    <w:p w14:paraId="78485471"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乙方有权根据甲方及其担保物的状况以及市场情况，选择乙方认为最有利于平仓成功或最有利于债权实现的平仓证券品种、数量、价格、顺序、时间等平仓策略，甲方对此均予认可，并无权就此向乙方提出任何异议或索赔。</w:t>
      </w:r>
    </w:p>
    <w:p w14:paraId="09DC5A4E"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当甲方达到强制平仓条件时，乙方有权选择全部强制平仓或者部分强制平仓。</w:t>
      </w:r>
    </w:p>
    <w:p w14:paraId="65812180"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若甲方担保物被全部平仓后，仍不足以偿还甲方对乙方所负债务，甲方同意乙方对甲方在乙方处开立的普通账户采取限制资产转出、限制交易、强制卖出、扣划资金或证券等措施实现债权，仍不足以偿还甲方对乙方所负债务的，乙方有权向甲方继续追索。</w:t>
      </w:r>
    </w:p>
    <w:p w14:paraId="25EF0A10" w14:textId="77777777" w:rsidR="002D3EC1" w:rsidRDefault="002D3EC1" w:rsidP="002D3EC1">
      <w:pPr>
        <w:numPr>
          <w:ilvl w:val="0"/>
          <w:numId w:val="16"/>
        </w:numPr>
        <w:spacing w:line="276" w:lineRule="auto"/>
        <w:ind w:left="0" w:firstLineChars="200" w:firstLine="420"/>
        <w:rPr>
          <w:rFonts w:eastAsia="楷体_GB2312"/>
          <w:color w:val="000000"/>
          <w:szCs w:val="21"/>
        </w:rPr>
      </w:pPr>
      <w:r>
        <w:rPr>
          <w:rFonts w:eastAsia="楷体_GB2312" w:hint="eastAsia"/>
          <w:szCs w:val="21"/>
        </w:rPr>
        <w:t>乙方对甲方账户实施强制平仓后，乙方将平仓情况记入甲方信用记录，作</w:t>
      </w:r>
      <w:r>
        <w:rPr>
          <w:rFonts w:eastAsia="楷体_GB2312" w:hint="eastAsia"/>
          <w:color w:val="000000"/>
          <w:szCs w:val="21"/>
        </w:rPr>
        <w:t>为日后授信额度调整的重要依据。</w:t>
      </w:r>
    </w:p>
    <w:p w14:paraId="5E61C421" w14:textId="77777777" w:rsidR="002D3EC1" w:rsidRDefault="002D3EC1" w:rsidP="002D3EC1">
      <w:pPr>
        <w:numPr>
          <w:ilvl w:val="0"/>
          <w:numId w:val="16"/>
        </w:numPr>
        <w:spacing w:line="276" w:lineRule="auto"/>
        <w:ind w:left="0" w:firstLineChars="200" w:firstLine="420"/>
        <w:rPr>
          <w:rFonts w:eastAsia="楷体_GB2312"/>
          <w:color w:val="000000"/>
          <w:szCs w:val="21"/>
        </w:rPr>
      </w:pPr>
      <w:r>
        <w:rPr>
          <w:rFonts w:eastAsia="楷体_GB2312" w:hint="eastAsia"/>
          <w:color w:val="000000"/>
          <w:szCs w:val="21"/>
        </w:rPr>
        <w:t>乙方有权根据甲方的信用记录，调整或限制甲方融资买入或融券卖出的规模及权限。</w:t>
      </w:r>
    </w:p>
    <w:p w14:paraId="67AE084B"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债务清偿</w:t>
      </w:r>
    </w:p>
    <w:p w14:paraId="1A810B14"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甲方应当清偿债务的范围，包括：向乙方借入的资金和证券、融资利息和融券费用、证券交易税费、罚息及其他相关费用。</w:t>
      </w:r>
    </w:p>
    <w:p w14:paraId="6392ABF8"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甲方可以在约定的融资融券债务到期时偿还对乙方所负债务，也可以提前部分或全部偿还对乙方所负债务。</w:t>
      </w:r>
    </w:p>
    <w:p w14:paraId="0CDC41A8"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从事融资交易的，可以选择卖券还款或直接还款方式偿还对乙方所负债务；甲方卖出证券所得资金，应当首先用于偿还甲方对乙方所负债务。甲方从事融券交易的，可以选择买券还券或直接还券的方式，偿还向乙方融入的证券。</w:t>
      </w:r>
    </w:p>
    <w:p w14:paraId="78CF8778"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甲方偿还融资负债时，应按照融资“先发生先偿还”的原则逐笔偿还。</w:t>
      </w:r>
    </w:p>
    <w:p w14:paraId="4C8D04B3"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甲方偿还融券负债时，同一证券多笔融券应按照“先发生先偿还”的原则逐笔偿还。</w:t>
      </w:r>
    </w:p>
    <w:p w14:paraId="58FA157A"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甲方偿还全部融资融券债务后有剩余证券或资金的，在信用账户注销前，甲方应当申请将剩余证券划转到其普通证券账户，将剩余资金划转到其相应银行账户。</w:t>
      </w:r>
    </w:p>
    <w:p w14:paraId="0D16C9FB" w14:textId="77777777" w:rsidR="002D3EC1" w:rsidRPr="00080D22" w:rsidRDefault="002D3EC1" w:rsidP="002D3EC1">
      <w:pPr>
        <w:numPr>
          <w:ilvl w:val="0"/>
          <w:numId w:val="1"/>
        </w:numPr>
        <w:spacing w:line="276" w:lineRule="auto"/>
        <w:ind w:left="0" w:firstLine="0"/>
        <w:jc w:val="center"/>
        <w:outlineLvl w:val="2"/>
        <w:rPr>
          <w:rFonts w:eastAsia="楷体_GB2312"/>
          <w:b/>
          <w:sz w:val="25"/>
          <w:szCs w:val="21"/>
        </w:rPr>
      </w:pPr>
      <w:r w:rsidRPr="00080D22">
        <w:rPr>
          <w:rFonts w:eastAsia="楷体_GB2312" w:hint="eastAsia"/>
          <w:b/>
          <w:sz w:val="25"/>
          <w:szCs w:val="21"/>
        </w:rPr>
        <w:t>特殊事项的处理</w:t>
      </w:r>
    </w:p>
    <w:p w14:paraId="3E4F61CC"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可充抵保证金的证券范围和折算率调整</w:t>
      </w:r>
    </w:p>
    <w:p w14:paraId="0667B11F" w14:textId="77777777" w:rsidR="002D3EC1" w:rsidRDefault="002D3EC1" w:rsidP="002D3EC1">
      <w:pPr>
        <w:numPr>
          <w:ilvl w:val="0"/>
          <w:numId w:val="20"/>
        </w:numPr>
        <w:spacing w:line="276" w:lineRule="auto"/>
        <w:ind w:left="0" w:firstLineChars="200" w:firstLine="420"/>
        <w:rPr>
          <w:rFonts w:eastAsia="楷体_GB2312"/>
          <w:szCs w:val="21"/>
        </w:rPr>
      </w:pPr>
      <w:r>
        <w:rPr>
          <w:rFonts w:eastAsia="楷体_GB2312" w:hint="eastAsia"/>
          <w:szCs w:val="21"/>
        </w:rPr>
        <w:t>可充抵保证金证券被特别处理的，乙方在该证券被实施特别处理当日调整出可充抵保证金的证券范围。</w:t>
      </w:r>
    </w:p>
    <w:p w14:paraId="530295DA" w14:textId="77777777" w:rsidR="002D3EC1" w:rsidRDefault="002D3EC1" w:rsidP="002D3EC1">
      <w:pPr>
        <w:numPr>
          <w:ilvl w:val="0"/>
          <w:numId w:val="20"/>
        </w:numPr>
        <w:spacing w:line="276" w:lineRule="auto"/>
        <w:ind w:left="0" w:firstLineChars="200" w:firstLine="420"/>
        <w:rPr>
          <w:rFonts w:eastAsia="楷体_GB2312"/>
          <w:szCs w:val="21"/>
        </w:rPr>
      </w:pPr>
      <w:r>
        <w:rPr>
          <w:rFonts w:eastAsia="楷体_GB2312" w:hint="eastAsia"/>
          <w:szCs w:val="21"/>
        </w:rPr>
        <w:t>可充抵保证金证券被终止上市的，乙方在该证券发行人发布终止上市公告日调整出可充抵保证金的证券范围。</w:t>
      </w:r>
    </w:p>
    <w:p w14:paraId="253BB0C0" w14:textId="77777777" w:rsidR="002D3EC1" w:rsidRDefault="002D3EC1" w:rsidP="002D3EC1">
      <w:pPr>
        <w:numPr>
          <w:ilvl w:val="0"/>
          <w:numId w:val="20"/>
        </w:numPr>
        <w:spacing w:line="276" w:lineRule="auto"/>
        <w:ind w:left="0" w:firstLineChars="200" w:firstLine="420"/>
        <w:rPr>
          <w:rFonts w:eastAsia="楷体_GB2312"/>
          <w:szCs w:val="21"/>
        </w:rPr>
      </w:pPr>
      <w:r>
        <w:rPr>
          <w:rFonts w:eastAsia="楷体_GB2312" w:hint="eastAsia"/>
          <w:szCs w:val="21"/>
        </w:rPr>
        <w:t>若证券被调出可充抵保证金证券范围，在计算维持担保比例时会将该证券剔</w:t>
      </w:r>
      <w:r>
        <w:rPr>
          <w:rFonts w:eastAsia="楷体_GB2312" w:hint="eastAsia"/>
          <w:szCs w:val="21"/>
        </w:rPr>
        <w:lastRenderedPageBreak/>
        <w:t>除。</w:t>
      </w:r>
    </w:p>
    <w:p w14:paraId="7DF88672" w14:textId="77777777" w:rsidR="00EB7F4D" w:rsidRPr="00070550" w:rsidRDefault="00EB7F4D" w:rsidP="002D3EC1">
      <w:pPr>
        <w:numPr>
          <w:ilvl w:val="0"/>
          <w:numId w:val="20"/>
        </w:numPr>
        <w:spacing w:line="276" w:lineRule="auto"/>
        <w:ind w:left="0" w:firstLineChars="200" w:firstLine="420"/>
        <w:rPr>
          <w:rFonts w:eastAsia="楷体_GB2312"/>
          <w:szCs w:val="21"/>
        </w:rPr>
      </w:pPr>
      <w:r w:rsidRPr="00070550">
        <w:rPr>
          <w:rFonts w:eastAsia="楷体_GB2312" w:hint="eastAsia"/>
          <w:szCs w:val="21"/>
        </w:rPr>
        <w:t>可充抵保证金证券长期停牌的，乙方将其折算率按</w:t>
      </w:r>
      <w:r w:rsidR="00D11FA5" w:rsidRPr="00070550">
        <w:rPr>
          <w:rFonts w:eastAsia="楷体_GB2312" w:hint="eastAsia"/>
          <w:szCs w:val="21"/>
        </w:rPr>
        <w:t>25</w:t>
      </w:r>
      <w:r w:rsidRPr="00070550">
        <w:rPr>
          <w:rFonts w:eastAsia="楷体_GB2312" w:hint="eastAsia"/>
          <w:szCs w:val="21"/>
        </w:rPr>
        <w:t>%</w:t>
      </w:r>
      <w:r w:rsidRPr="00070550">
        <w:rPr>
          <w:rFonts w:eastAsia="楷体_GB2312" w:hint="eastAsia"/>
          <w:szCs w:val="21"/>
        </w:rPr>
        <w:t>计算。</w:t>
      </w:r>
    </w:p>
    <w:p w14:paraId="424AB54E" w14:textId="77777777" w:rsidR="00EB7F4D" w:rsidRDefault="00EB7F4D" w:rsidP="00EB7F4D">
      <w:pPr>
        <w:numPr>
          <w:ilvl w:val="0"/>
          <w:numId w:val="20"/>
        </w:numPr>
        <w:spacing w:line="276" w:lineRule="auto"/>
        <w:ind w:left="0" w:firstLineChars="200" w:firstLine="420"/>
        <w:rPr>
          <w:rFonts w:eastAsia="楷体_GB2312"/>
          <w:szCs w:val="21"/>
        </w:rPr>
      </w:pPr>
      <w:r>
        <w:rPr>
          <w:rFonts w:eastAsia="楷体_GB2312" w:hint="eastAsia"/>
          <w:szCs w:val="21"/>
        </w:rPr>
        <w:t>可充抵保证金证券长期停牌的，按如下方式计算证券市值：</w:t>
      </w:r>
    </w:p>
    <w:p w14:paraId="471A4EC5" w14:textId="77777777" w:rsidR="00EB7F4D" w:rsidRDefault="00EB7F4D" w:rsidP="00EB7F4D">
      <w:pPr>
        <w:spacing w:line="276" w:lineRule="auto"/>
        <w:ind w:firstLineChars="600" w:firstLine="1260"/>
        <w:rPr>
          <w:rFonts w:eastAsia="楷体_GB2312"/>
          <w:szCs w:val="21"/>
        </w:rPr>
      </w:pPr>
      <w:r>
        <w:rPr>
          <w:rFonts w:ascii="宋体" w:eastAsia="楷体_GB2312" w:hAnsi="宋体" w:hint="eastAsia"/>
          <w:szCs w:val="21"/>
        </w:rPr>
        <w:t>证券市值</w:t>
      </w:r>
      <w:r>
        <w:rPr>
          <w:rFonts w:ascii="宋体" w:eastAsia="楷体_GB2312" w:hAnsi="宋体"/>
          <w:szCs w:val="21"/>
        </w:rPr>
        <w:t>=</w:t>
      </w:r>
      <w:r>
        <w:rPr>
          <w:rFonts w:ascii="宋体" w:eastAsia="楷体_GB2312" w:hAnsi="宋体" w:hint="eastAsia"/>
          <w:szCs w:val="21"/>
        </w:rPr>
        <w:t>该证券前一交易日收盘价格×证券数量。</w:t>
      </w:r>
    </w:p>
    <w:p w14:paraId="574CC8D0" w14:textId="77777777" w:rsidR="00EB7F4D" w:rsidRDefault="00EB7F4D" w:rsidP="002D3EC1">
      <w:pPr>
        <w:numPr>
          <w:ilvl w:val="0"/>
          <w:numId w:val="20"/>
        </w:numPr>
        <w:spacing w:line="276" w:lineRule="auto"/>
        <w:ind w:left="0" w:firstLineChars="200" w:firstLine="420"/>
        <w:rPr>
          <w:rFonts w:eastAsia="楷体_GB2312"/>
          <w:szCs w:val="21"/>
        </w:rPr>
      </w:pPr>
      <w:r>
        <w:rPr>
          <w:rFonts w:eastAsia="楷体_GB2312" w:hint="eastAsia"/>
          <w:szCs w:val="21"/>
        </w:rPr>
        <w:t>因证券交易所、乙方调整可充抵保证金的证券范围触发甲方达到强制平仓条件时，乙方应按照本合同第九章的相关条款执行。</w:t>
      </w:r>
    </w:p>
    <w:p w14:paraId="37C0A6F5" w14:textId="77777777" w:rsidR="00EB7F4D" w:rsidRPr="00070550" w:rsidRDefault="00EB7F4D" w:rsidP="00EB7F4D">
      <w:pPr>
        <w:numPr>
          <w:ilvl w:val="0"/>
          <w:numId w:val="20"/>
        </w:numPr>
        <w:spacing w:line="276" w:lineRule="auto"/>
        <w:ind w:left="0" w:firstLineChars="200" w:firstLine="420"/>
        <w:rPr>
          <w:rFonts w:eastAsia="楷体_GB2312"/>
          <w:szCs w:val="21"/>
        </w:rPr>
      </w:pPr>
      <w:r w:rsidRPr="00080D22">
        <w:rPr>
          <w:rFonts w:eastAsia="楷体_GB2312" w:hint="eastAsia"/>
          <w:szCs w:val="21"/>
        </w:rPr>
        <w:t>可冲抵保证金证券单一担保证券市值占该证券总市值比重超过</w:t>
      </w:r>
      <w:r w:rsidRPr="00080D22">
        <w:rPr>
          <w:rFonts w:eastAsia="楷体_GB2312" w:hint="eastAsia"/>
          <w:szCs w:val="21"/>
        </w:rPr>
        <w:t>40%</w:t>
      </w:r>
      <w:r w:rsidRPr="00080D22">
        <w:rPr>
          <w:rFonts w:eastAsia="楷体_GB2312" w:hint="eastAsia"/>
          <w:szCs w:val="21"/>
        </w:rPr>
        <w:t>低于</w:t>
      </w:r>
      <w:r w:rsidRPr="00080D22">
        <w:rPr>
          <w:rFonts w:eastAsia="楷体_GB2312" w:hint="eastAsia"/>
          <w:szCs w:val="21"/>
        </w:rPr>
        <w:t>50%</w:t>
      </w:r>
      <w:r w:rsidRPr="00080D22">
        <w:rPr>
          <w:rFonts w:eastAsia="楷体_GB2312" w:hint="eastAsia"/>
          <w:szCs w:val="21"/>
        </w:rPr>
        <w:t>，分别将折算率调低</w:t>
      </w:r>
      <w:r w:rsidRPr="00080D22">
        <w:rPr>
          <w:rFonts w:eastAsia="楷体_GB2312" w:hint="eastAsia"/>
          <w:szCs w:val="21"/>
        </w:rPr>
        <w:t>10</w:t>
      </w:r>
      <w:r w:rsidRPr="00080D22">
        <w:rPr>
          <w:rFonts w:eastAsia="楷体_GB2312" w:hint="eastAsia"/>
          <w:szCs w:val="21"/>
        </w:rPr>
        <w:t>个百分点。可冲抵保证金证券单一担保证券市值占该证券总市值比重</w:t>
      </w:r>
      <w:r w:rsidRPr="00070550">
        <w:rPr>
          <w:rFonts w:eastAsia="楷体_GB2312" w:hint="eastAsia"/>
          <w:szCs w:val="21"/>
        </w:rPr>
        <w:t>超过</w:t>
      </w:r>
      <w:r w:rsidRPr="00070550">
        <w:rPr>
          <w:rFonts w:eastAsia="楷体_GB2312" w:hint="eastAsia"/>
          <w:szCs w:val="21"/>
        </w:rPr>
        <w:t>50%</w:t>
      </w:r>
      <w:r w:rsidRPr="00070550">
        <w:rPr>
          <w:rFonts w:eastAsia="楷体_GB2312" w:hint="eastAsia"/>
          <w:szCs w:val="21"/>
        </w:rPr>
        <w:t>，折算率统一调为</w:t>
      </w:r>
      <w:r w:rsidRPr="00070550">
        <w:rPr>
          <w:rFonts w:eastAsia="楷体_GB2312" w:hint="eastAsia"/>
          <w:szCs w:val="21"/>
        </w:rPr>
        <w:t>0</w:t>
      </w:r>
      <w:r w:rsidRPr="00070550">
        <w:rPr>
          <w:rFonts w:eastAsia="楷体_GB2312" w:hint="eastAsia"/>
          <w:szCs w:val="21"/>
        </w:rPr>
        <w:t>。</w:t>
      </w:r>
    </w:p>
    <w:p w14:paraId="74D1E535" w14:textId="77777777" w:rsidR="00EB7F4D" w:rsidRPr="00070550" w:rsidRDefault="00EB7F4D" w:rsidP="00EB7F4D">
      <w:pPr>
        <w:numPr>
          <w:ilvl w:val="0"/>
          <w:numId w:val="20"/>
        </w:numPr>
        <w:spacing w:line="276" w:lineRule="auto"/>
        <w:ind w:left="0" w:firstLineChars="200" w:firstLine="420"/>
        <w:rPr>
          <w:rFonts w:eastAsia="楷体_GB2312"/>
          <w:szCs w:val="21"/>
        </w:rPr>
      </w:pPr>
      <w:r w:rsidRPr="00070550">
        <w:rPr>
          <w:rFonts w:eastAsia="楷体_GB2312" w:hint="eastAsia"/>
          <w:szCs w:val="21"/>
        </w:rPr>
        <w:t>新股上市前五个交易日折算率为</w:t>
      </w:r>
      <w:r w:rsidRPr="00070550">
        <w:rPr>
          <w:rFonts w:eastAsia="楷体_GB2312" w:hint="eastAsia"/>
          <w:szCs w:val="21"/>
        </w:rPr>
        <w:t>0</w:t>
      </w:r>
      <w:r w:rsidRPr="00070550">
        <w:rPr>
          <w:rFonts w:eastAsia="楷体_GB2312" w:hint="eastAsia"/>
          <w:szCs w:val="21"/>
        </w:rPr>
        <w:t>，第六个交易日将折算率统一调整为</w:t>
      </w:r>
      <w:r w:rsidR="00B5370C" w:rsidRPr="00070550">
        <w:rPr>
          <w:rFonts w:eastAsia="楷体_GB2312" w:hint="eastAsia"/>
          <w:szCs w:val="21"/>
        </w:rPr>
        <w:t>35</w:t>
      </w:r>
      <w:r w:rsidRPr="00070550">
        <w:rPr>
          <w:rFonts w:eastAsia="楷体_GB2312" w:hint="eastAsia"/>
          <w:szCs w:val="21"/>
        </w:rPr>
        <w:t>%</w:t>
      </w:r>
      <w:r w:rsidRPr="00070550">
        <w:rPr>
          <w:rFonts w:eastAsia="楷体_GB2312" w:hint="eastAsia"/>
          <w:szCs w:val="21"/>
        </w:rPr>
        <w:t>。</w:t>
      </w:r>
    </w:p>
    <w:p w14:paraId="33532B26"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保证金比例与维持担保比例调整</w:t>
      </w:r>
    </w:p>
    <w:p w14:paraId="18AB2540" w14:textId="77777777" w:rsidR="002D3EC1" w:rsidRDefault="002D3EC1" w:rsidP="002D3EC1">
      <w:pPr>
        <w:numPr>
          <w:ilvl w:val="0"/>
          <w:numId w:val="21"/>
        </w:numPr>
        <w:spacing w:line="276" w:lineRule="auto"/>
        <w:ind w:left="0" w:firstLineChars="200" w:firstLine="420"/>
        <w:rPr>
          <w:rFonts w:eastAsia="楷体_GB2312"/>
          <w:szCs w:val="21"/>
        </w:rPr>
      </w:pPr>
      <w:r>
        <w:rPr>
          <w:rFonts w:eastAsia="楷体_GB2312" w:hint="eastAsia"/>
          <w:szCs w:val="21"/>
        </w:rPr>
        <w:t>当保证金比例调整时，在调整实施前未了结的融资融券交易仍然有效。</w:t>
      </w:r>
    </w:p>
    <w:p w14:paraId="78C0D6EC" w14:textId="77777777" w:rsidR="002D3EC1" w:rsidRDefault="002D3EC1" w:rsidP="002D3EC1">
      <w:pPr>
        <w:numPr>
          <w:ilvl w:val="0"/>
          <w:numId w:val="21"/>
        </w:numPr>
        <w:spacing w:line="276" w:lineRule="auto"/>
        <w:ind w:left="0" w:firstLineChars="200" w:firstLine="420"/>
        <w:rPr>
          <w:rFonts w:eastAsia="楷体_GB2312"/>
          <w:szCs w:val="21"/>
        </w:rPr>
      </w:pPr>
      <w:r>
        <w:rPr>
          <w:rFonts w:eastAsia="楷体_GB2312" w:hint="eastAsia"/>
          <w:szCs w:val="21"/>
        </w:rPr>
        <w:t>当维持担保比例调整时，在实施调整前未了结的融资融券交易仍然有效。</w:t>
      </w:r>
    </w:p>
    <w:p w14:paraId="1902114D"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标的证券范围调整、标的证券暂停交易或终止上市</w:t>
      </w:r>
    </w:p>
    <w:p w14:paraId="7F5E6A4C" w14:textId="77777777" w:rsidR="002D3EC1" w:rsidRDefault="002D3EC1" w:rsidP="002D3EC1">
      <w:pPr>
        <w:numPr>
          <w:ilvl w:val="0"/>
          <w:numId w:val="22"/>
        </w:numPr>
        <w:spacing w:line="276" w:lineRule="auto"/>
        <w:ind w:left="0" w:firstLine="426"/>
        <w:rPr>
          <w:rFonts w:eastAsia="楷体_GB2312"/>
          <w:szCs w:val="21"/>
        </w:rPr>
      </w:pPr>
      <w:r>
        <w:rPr>
          <w:rFonts w:eastAsia="楷体_GB2312" w:hint="eastAsia"/>
          <w:szCs w:val="21"/>
        </w:rPr>
        <w:t>当证券交易所、乙方将原标的证券调整出标的证券范围时，在调整实施前未了结的融资融券交易仍然有效。</w:t>
      </w:r>
    </w:p>
    <w:p w14:paraId="6420CFB5" w14:textId="77777777" w:rsidR="002D3EC1" w:rsidRDefault="002D3EC1" w:rsidP="002D3EC1">
      <w:pPr>
        <w:numPr>
          <w:ilvl w:val="0"/>
          <w:numId w:val="22"/>
        </w:numPr>
        <w:spacing w:line="276" w:lineRule="auto"/>
        <w:ind w:left="0" w:firstLineChars="200" w:firstLine="420"/>
        <w:rPr>
          <w:rFonts w:eastAsia="楷体_GB2312"/>
          <w:szCs w:val="21"/>
        </w:rPr>
      </w:pPr>
      <w:r>
        <w:rPr>
          <w:rFonts w:eastAsia="楷体_GB2312" w:hint="eastAsia"/>
          <w:szCs w:val="21"/>
        </w:rPr>
        <w:t>标的证券被实施特别处理的，乙方在该证券被实施特别处理当日将其调整出标的证券范围。在标的证券范围实施调整前，存在尚未了结的融资融券交易仍然有效。</w:t>
      </w:r>
    </w:p>
    <w:p w14:paraId="59CD3462" w14:textId="77777777" w:rsidR="002D3EC1" w:rsidRDefault="002D3EC1" w:rsidP="002D3EC1">
      <w:pPr>
        <w:numPr>
          <w:ilvl w:val="0"/>
          <w:numId w:val="22"/>
        </w:numPr>
        <w:spacing w:line="276" w:lineRule="auto"/>
        <w:ind w:left="0" w:firstLineChars="200" w:firstLine="420"/>
        <w:rPr>
          <w:rFonts w:eastAsia="楷体_GB2312"/>
          <w:szCs w:val="21"/>
        </w:rPr>
      </w:pPr>
      <w:r>
        <w:rPr>
          <w:rFonts w:eastAsia="楷体_GB2312" w:hint="eastAsia"/>
          <w:szCs w:val="21"/>
        </w:rPr>
        <w:t>标的证券被终止上市的，乙方自该证券发行人做出相关公告当日起将其调整出标的证券范围。在标的证券范围实施调整前，存在尚未了结的融资融券交易仍然有效。</w:t>
      </w:r>
    </w:p>
    <w:p w14:paraId="305F8771" w14:textId="77777777" w:rsidR="002D3EC1" w:rsidRDefault="002D3EC1" w:rsidP="002D3EC1">
      <w:pPr>
        <w:spacing w:line="276" w:lineRule="auto"/>
        <w:ind w:firstLineChars="200" w:firstLine="420"/>
        <w:rPr>
          <w:rFonts w:eastAsia="楷体_GB2312"/>
          <w:szCs w:val="21"/>
        </w:rPr>
      </w:pPr>
      <w:r>
        <w:rPr>
          <w:rFonts w:eastAsia="楷体_GB2312" w:hint="eastAsia"/>
          <w:szCs w:val="21"/>
        </w:rPr>
        <w:t>对于尚未了结的融券交易，乙方在</w:t>
      </w:r>
      <w:r>
        <w:rPr>
          <w:rFonts w:eastAsia="楷体_GB2312"/>
          <w:szCs w:val="21"/>
        </w:rPr>
        <w:t>T</w:t>
      </w:r>
      <w:r>
        <w:rPr>
          <w:rFonts w:eastAsia="楷体_GB2312" w:hint="eastAsia"/>
          <w:szCs w:val="21"/>
        </w:rPr>
        <w:t>日（</w:t>
      </w:r>
      <w:r>
        <w:rPr>
          <w:rFonts w:eastAsia="楷体_GB2312"/>
          <w:szCs w:val="21"/>
        </w:rPr>
        <w:t>T</w:t>
      </w:r>
      <w:r>
        <w:rPr>
          <w:rFonts w:eastAsia="楷体_GB2312" w:hint="eastAsia"/>
          <w:szCs w:val="21"/>
        </w:rPr>
        <w:t>日为相关公告日）向甲方发出通知，甲方应在</w:t>
      </w:r>
      <w:r>
        <w:rPr>
          <w:rFonts w:eastAsia="楷体_GB2312"/>
          <w:szCs w:val="21"/>
        </w:rPr>
        <w:t>T+1</w:t>
      </w:r>
      <w:r>
        <w:rPr>
          <w:rFonts w:eastAsia="楷体_GB2312" w:hint="eastAsia"/>
          <w:szCs w:val="21"/>
        </w:rPr>
        <w:t>日</w:t>
      </w:r>
      <w:r>
        <w:rPr>
          <w:rFonts w:eastAsia="楷体_GB2312"/>
          <w:szCs w:val="21"/>
        </w:rPr>
        <w:t>15:00</w:t>
      </w:r>
      <w:r>
        <w:rPr>
          <w:rFonts w:eastAsia="楷体_GB2312" w:hint="eastAsia"/>
          <w:szCs w:val="21"/>
        </w:rPr>
        <w:t>前了结该笔融券负债。如果甲方未能在</w:t>
      </w:r>
      <w:r>
        <w:rPr>
          <w:rFonts w:eastAsia="楷体_GB2312"/>
          <w:szCs w:val="21"/>
        </w:rPr>
        <w:t>T+1</w:t>
      </w:r>
      <w:r>
        <w:rPr>
          <w:rFonts w:eastAsia="楷体_GB2312" w:hint="eastAsia"/>
          <w:szCs w:val="21"/>
        </w:rPr>
        <w:t>日</w:t>
      </w:r>
      <w:r>
        <w:rPr>
          <w:rFonts w:eastAsia="楷体_GB2312"/>
          <w:szCs w:val="21"/>
        </w:rPr>
        <w:t>15:00</w:t>
      </w:r>
      <w:r>
        <w:rPr>
          <w:rFonts w:eastAsia="楷体_GB2312" w:hint="eastAsia"/>
          <w:szCs w:val="21"/>
        </w:rPr>
        <w:t>前了结该笔融券负债，乙方将从</w:t>
      </w:r>
      <w:r>
        <w:rPr>
          <w:rFonts w:eastAsia="楷体_GB2312"/>
          <w:szCs w:val="21"/>
        </w:rPr>
        <w:t>T+2</w:t>
      </w:r>
      <w:r>
        <w:rPr>
          <w:rFonts w:eastAsia="楷体_GB2312" w:hint="eastAsia"/>
          <w:szCs w:val="21"/>
        </w:rPr>
        <w:t>日起执行强制平仓。如遇特殊情况，甲方无法了结融券负债或乙方无法执行强制平仓，甲乙双方应共同协商，以现金偿还方式了结融券负债，原则上偿还金额以该笔融券负债发生日实际成交金额为准。</w:t>
      </w:r>
    </w:p>
    <w:p w14:paraId="7DE90BFD"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乙方被取消或限制融资融券交易权限时，乙方应及时通知甲方，乙方不再接受甲方提交的融资买入和融券卖出的交易指令，甲方应了结融资融券交易。</w:t>
      </w:r>
    </w:p>
    <w:p w14:paraId="707DF326"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国家有权机关依法对甲方信用证券账户记载的权益采取财产保全或强制执行措施的，乙方将了结甲方的融资融券交易，收回因融资融券所生对甲方的债权后，将剩余证券划转到甲方的普通证券账户，将剩余资金划转到其普通资金账户，并协助国家有权机关执行。乙方无须承担根据国家有权机关的通知或者其他法律文件处置担保物所引起的损失或损害。</w:t>
      </w:r>
    </w:p>
    <w:p w14:paraId="2AE5FDF4"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信用证券账户记载的权益被继承、财产分割、遗赠或赠与情形下，相关权利人应持有效法律文书向乙方申请了结甲方的融资融券交易，了结融资融券交易、乙方收回因融资融券所生对甲方的债权后有剩余证券或资金的，乙方将剩余证券划转到甲方普通证券账户，将剩余资金划转到甲方普通资金账户，并协助相关权利人办理有关继承、财产分割、遗赠或赠与手续。</w:t>
      </w:r>
    </w:p>
    <w:p w14:paraId="544C4AF0"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权益处理</w:t>
      </w:r>
    </w:p>
    <w:p w14:paraId="0DE3B61A"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lastRenderedPageBreak/>
        <w:t>可充抵保证金证券所产生的权益</w:t>
      </w:r>
    </w:p>
    <w:p w14:paraId="73CDBFE9" w14:textId="77777777" w:rsidR="002D3EC1" w:rsidRDefault="002D3EC1" w:rsidP="002D3EC1">
      <w:pPr>
        <w:numPr>
          <w:ilvl w:val="0"/>
          <w:numId w:val="23"/>
        </w:numPr>
        <w:tabs>
          <w:tab w:val="left" w:pos="1455"/>
        </w:tabs>
        <w:spacing w:line="276" w:lineRule="auto"/>
        <w:ind w:left="0" w:firstLineChars="200" w:firstLine="420"/>
        <w:rPr>
          <w:rFonts w:eastAsia="楷体_GB2312"/>
          <w:szCs w:val="21"/>
        </w:rPr>
      </w:pPr>
      <w:r>
        <w:rPr>
          <w:rFonts w:eastAsia="楷体_GB2312" w:hint="eastAsia"/>
          <w:szCs w:val="21"/>
        </w:rPr>
        <w:t>对客户信用交易担保证券账户内的证券，由乙方以自己的名义，为甲方的利益，按“客户信用交易担保证券账户”记录的证券，行使对证券发行人的权利。乙方行使对证券发行人的权利，应当事先征求甲方的意见，并按照甲方意见办理；甲方未表示意见的，乙方不得行使对证券发行人的权利。</w:t>
      </w:r>
    </w:p>
    <w:p w14:paraId="37483DE3" w14:textId="77777777" w:rsidR="002D3EC1" w:rsidRDefault="002D3EC1" w:rsidP="002D3EC1">
      <w:pPr>
        <w:tabs>
          <w:tab w:val="left" w:pos="1455"/>
        </w:tabs>
        <w:spacing w:line="276" w:lineRule="auto"/>
        <w:ind w:firstLineChars="200" w:firstLine="420"/>
        <w:rPr>
          <w:rFonts w:eastAsia="楷体_GB2312"/>
          <w:szCs w:val="21"/>
        </w:rPr>
      </w:pPr>
      <w:r>
        <w:rPr>
          <w:rFonts w:eastAsia="楷体_GB2312" w:hint="eastAsia"/>
          <w:szCs w:val="21"/>
        </w:rPr>
        <w:t>对证券发行人的权利包括：参加证券持有人会议、提案、投票表决、请求法院撤销权、知情权、查账权、召开和主持股东大会权、请求回购权、以股东名义起诉权、请求法院解散公司等因持有证券而产生的权利。</w:t>
      </w:r>
    </w:p>
    <w:p w14:paraId="697B0B33" w14:textId="77777777" w:rsidR="002D3EC1" w:rsidRDefault="002D3EC1" w:rsidP="002D3EC1">
      <w:pPr>
        <w:numPr>
          <w:ilvl w:val="0"/>
          <w:numId w:val="24"/>
        </w:numPr>
        <w:autoSpaceDE w:val="0"/>
        <w:autoSpaceDN w:val="0"/>
        <w:adjustRightInd w:val="0"/>
        <w:spacing w:line="276" w:lineRule="auto"/>
        <w:ind w:left="0" w:firstLineChars="200" w:firstLine="420"/>
        <w:rPr>
          <w:rFonts w:eastAsia="楷体_GB2312"/>
          <w:szCs w:val="21"/>
        </w:rPr>
      </w:pPr>
      <w:r>
        <w:rPr>
          <w:rFonts w:eastAsia="楷体_GB2312" w:hint="eastAsia"/>
          <w:szCs w:val="21"/>
        </w:rPr>
        <w:t>提议召开证券持有人会议：对客户信用交易担保证券账户内的证券，如甲方认为有必要提议召开证券持有人会议的，应当向乙方书面提出请求召开证券持有人会议的要求。</w:t>
      </w:r>
    </w:p>
    <w:p w14:paraId="30698649" w14:textId="77777777" w:rsidR="002D3EC1" w:rsidRDefault="002D3EC1" w:rsidP="002D3EC1">
      <w:pPr>
        <w:autoSpaceDE w:val="0"/>
        <w:autoSpaceDN w:val="0"/>
        <w:adjustRightInd w:val="0"/>
        <w:spacing w:line="276" w:lineRule="auto"/>
        <w:ind w:firstLineChars="200" w:firstLine="420"/>
        <w:jc w:val="left"/>
        <w:rPr>
          <w:rFonts w:eastAsia="楷体_GB2312"/>
          <w:szCs w:val="21"/>
        </w:rPr>
      </w:pPr>
      <w:r>
        <w:rPr>
          <w:rFonts w:eastAsia="楷体_GB2312" w:hint="eastAsia"/>
          <w:szCs w:val="21"/>
        </w:rPr>
        <w:t>当甲方的要求符合法律规定条件时，乙方应当以自己的名义向证券发行人书面提交召开证券持有人会议的请求。</w:t>
      </w:r>
    </w:p>
    <w:p w14:paraId="5B51616E" w14:textId="77777777" w:rsidR="002D3EC1" w:rsidRDefault="002D3EC1" w:rsidP="002D3EC1">
      <w:pPr>
        <w:numPr>
          <w:ilvl w:val="0"/>
          <w:numId w:val="24"/>
        </w:numPr>
        <w:autoSpaceDE w:val="0"/>
        <w:autoSpaceDN w:val="0"/>
        <w:adjustRightInd w:val="0"/>
        <w:spacing w:line="276" w:lineRule="auto"/>
        <w:ind w:left="0" w:firstLineChars="200" w:firstLine="420"/>
        <w:rPr>
          <w:rFonts w:eastAsia="楷体_GB2312"/>
          <w:szCs w:val="21"/>
        </w:rPr>
      </w:pPr>
      <w:r>
        <w:rPr>
          <w:rFonts w:eastAsia="楷体_GB2312" w:hint="eastAsia"/>
          <w:szCs w:val="21"/>
        </w:rPr>
        <w:t>向证券持有人会议提出临时提案：对客户信用交易担保证券账户记录的证券，如甲方认为有必要在证券持有人会议上提出临时提案的，可在法律规定的时间内向乙方书面提出临时提案。</w:t>
      </w:r>
    </w:p>
    <w:p w14:paraId="5C139AAB" w14:textId="77777777" w:rsidR="002D3EC1" w:rsidRDefault="002D3EC1" w:rsidP="002D3EC1">
      <w:pPr>
        <w:autoSpaceDE w:val="0"/>
        <w:autoSpaceDN w:val="0"/>
        <w:adjustRightInd w:val="0"/>
        <w:spacing w:line="276" w:lineRule="auto"/>
        <w:ind w:firstLineChars="200" w:firstLine="420"/>
        <w:jc w:val="left"/>
        <w:rPr>
          <w:rFonts w:eastAsia="楷体_GB2312"/>
          <w:szCs w:val="21"/>
        </w:rPr>
      </w:pPr>
      <w:r>
        <w:rPr>
          <w:rFonts w:eastAsia="楷体_GB2312" w:hint="eastAsia"/>
          <w:szCs w:val="21"/>
        </w:rPr>
        <w:t>当甲方的临时提案符合法律规定条件时，乙方应当以自己的名义向证券发行人书面提交临时提案。</w:t>
      </w:r>
    </w:p>
    <w:p w14:paraId="77216690" w14:textId="77777777" w:rsidR="002D3EC1" w:rsidRDefault="002D3EC1" w:rsidP="002D3EC1">
      <w:pPr>
        <w:numPr>
          <w:ilvl w:val="0"/>
          <w:numId w:val="24"/>
        </w:numPr>
        <w:autoSpaceDE w:val="0"/>
        <w:autoSpaceDN w:val="0"/>
        <w:adjustRightInd w:val="0"/>
        <w:spacing w:line="276" w:lineRule="auto"/>
        <w:ind w:left="0" w:firstLineChars="200" w:firstLine="420"/>
        <w:rPr>
          <w:rFonts w:eastAsia="楷体_GB2312"/>
          <w:szCs w:val="21"/>
        </w:rPr>
      </w:pPr>
      <w:r>
        <w:rPr>
          <w:rFonts w:eastAsia="楷体_GB2312" w:hint="eastAsia"/>
          <w:szCs w:val="21"/>
        </w:rPr>
        <w:t>投票表决：客户信用账户内的证券涉及投票权的，客户应关注上市公司公告，有意愿参加所持证券股东大会并行使表决权的，按如下方式行使表决权：</w:t>
      </w:r>
    </w:p>
    <w:p w14:paraId="57689759" w14:textId="77777777" w:rsidR="002D3EC1" w:rsidRDefault="002D3EC1" w:rsidP="002D3EC1">
      <w:pPr>
        <w:autoSpaceDE w:val="0"/>
        <w:autoSpaceDN w:val="0"/>
        <w:adjustRightInd w:val="0"/>
        <w:spacing w:line="276" w:lineRule="auto"/>
        <w:ind w:left="420"/>
        <w:rPr>
          <w:rFonts w:eastAsia="楷体_GB2312"/>
          <w:szCs w:val="21"/>
        </w:rPr>
      </w:pPr>
      <w:r>
        <w:rPr>
          <w:rFonts w:eastAsia="楷体_GB2312" w:hint="eastAsia"/>
          <w:szCs w:val="21"/>
        </w:rPr>
        <w:t>（</w:t>
      </w:r>
      <w:r>
        <w:rPr>
          <w:rFonts w:eastAsia="楷体_GB2312" w:hint="eastAsia"/>
          <w:szCs w:val="21"/>
        </w:rPr>
        <w:t>1</w:t>
      </w:r>
      <w:r>
        <w:rPr>
          <w:rFonts w:eastAsia="楷体_GB2312" w:hint="eastAsia"/>
          <w:szCs w:val="21"/>
        </w:rPr>
        <w:t>）证券持有人会议（如股东大会、基金持有人大会、债权人会议等，下同）提供网络投票的</w:t>
      </w:r>
    </w:p>
    <w:p w14:paraId="6283270B" w14:textId="77777777" w:rsidR="002D3EC1" w:rsidRDefault="002D3EC1" w:rsidP="002D3EC1">
      <w:pPr>
        <w:autoSpaceDE w:val="0"/>
        <w:autoSpaceDN w:val="0"/>
        <w:adjustRightInd w:val="0"/>
        <w:spacing w:line="276" w:lineRule="auto"/>
        <w:ind w:firstLineChars="200" w:firstLine="420"/>
        <w:rPr>
          <w:rFonts w:eastAsia="楷体_GB2312"/>
          <w:szCs w:val="21"/>
        </w:rPr>
      </w:pPr>
      <w:r>
        <w:rPr>
          <w:rFonts w:eastAsia="楷体_GB2312" w:hint="eastAsia"/>
          <w:szCs w:val="21"/>
        </w:rPr>
        <w:t>甲方需要参加证券持有人会议网络投票的，应在股权登记日之前与乙方所属营业部联系并提出书面申请，甲方还应在会议召开日前一交易日下午三点整前通过乙方网上交易系统表达投票意见，三点整之后的投票，视为弃权。乙方对甲方的投票结果进行汇总，并分“赞成”、“反对”或“弃权”，在投票截止日下午二点前，以证券发行人提供的投票方式代客户行使投票权。</w:t>
      </w:r>
    </w:p>
    <w:p w14:paraId="5C7DB88C" w14:textId="77777777" w:rsidR="002D3EC1" w:rsidRDefault="002D3EC1" w:rsidP="002D3EC1">
      <w:pPr>
        <w:autoSpaceDE w:val="0"/>
        <w:autoSpaceDN w:val="0"/>
        <w:adjustRightInd w:val="0"/>
        <w:spacing w:line="276" w:lineRule="auto"/>
        <w:ind w:firstLineChars="200" w:firstLine="420"/>
        <w:rPr>
          <w:rFonts w:eastAsia="楷体_GB2312"/>
          <w:szCs w:val="21"/>
        </w:rPr>
      </w:pPr>
      <w:r>
        <w:rPr>
          <w:rFonts w:eastAsia="楷体_GB2312" w:hint="eastAsia"/>
          <w:szCs w:val="21"/>
        </w:rPr>
        <w:t>（</w:t>
      </w:r>
      <w:r>
        <w:rPr>
          <w:rFonts w:eastAsia="楷体_GB2312" w:hint="eastAsia"/>
          <w:szCs w:val="21"/>
        </w:rPr>
        <w:t>2</w:t>
      </w:r>
      <w:r>
        <w:rPr>
          <w:rFonts w:eastAsia="楷体_GB2312" w:hint="eastAsia"/>
          <w:szCs w:val="21"/>
        </w:rPr>
        <w:t>）证券持有人会议采用现场会议方式且不提供网络投票</w:t>
      </w:r>
    </w:p>
    <w:p w14:paraId="5E1DADBF" w14:textId="77777777" w:rsidR="002D3EC1" w:rsidRDefault="002D3EC1" w:rsidP="002D3EC1">
      <w:pPr>
        <w:autoSpaceDE w:val="0"/>
        <w:autoSpaceDN w:val="0"/>
        <w:adjustRightInd w:val="0"/>
        <w:spacing w:line="276" w:lineRule="auto"/>
        <w:ind w:firstLineChars="200" w:firstLine="420"/>
        <w:rPr>
          <w:rFonts w:eastAsia="楷体_GB2312"/>
          <w:szCs w:val="21"/>
        </w:rPr>
      </w:pPr>
      <w:r>
        <w:rPr>
          <w:rFonts w:eastAsia="楷体_GB2312" w:hint="eastAsia"/>
          <w:szCs w:val="21"/>
        </w:rPr>
        <w:t>客户需要现场参加证券持有人会议并行使表决权的，应在股权登记日之前与乙方所属营业部联系并提出书面申请。乙方接纳申请后，乙方将提供授权委托书表明乙方授权客户仅代表客户所持股份数量参加会议并行使表决权，客户可持此授权委托书自行参加证券持有人会议。乙方不提供代甲方现场参加证券持有人会议并行使表决权的服务。</w:t>
      </w:r>
    </w:p>
    <w:p w14:paraId="339F5EE4" w14:textId="77777777" w:rsidR="002D3EC1" w:rsidRDefault="002D3EC1" w:rsidP="002D3EC1">
      <w:pPr>
        <w:autoSpaceDE w:val="0"/>
        <w:autoSpaceDN w:val="0"/>
        <w:adjustRightInd w:val="0"/>
        <w:spacing w:line="276" w:lineRule="auto"/>
        <w:ind w:firstLineChars="200" w:firstLine="420"/>
        <w:rPr>
          <w:rFonts w:eastAsia="楷体_GB2312"/>
          <w:szCs w:val="21"/>
        </w:rPr>
      </w:pPr>
      <w:r>
        <w:rPr>
          <w:rFonts w:eastAsia="楷体_GB2312" w:hint="eastAsia"/>
          <w:szCs w:val="21"/>
        </w:rPr>
        <w:t>甲方与上市公司审议项目存在关联关系的，在进行投票表决时，甲方应该主动回避。甲方未按要求回避相关投票的，由此造成的一切损失由甲方承担；同时，乙方将此次行为记入甲方违约记录。乙方发现甲方与上市公司审议项目存在关联关系的，乙方有权拒绝按甲方意见进行投票。乙方对甲方与上市公司审议项目关联关系的审查，不能免除甲方主动回避的义务。</w:t>
      </w:r>
    </w:p>
    <w:p w14:paraId="040816E4" w14:textId="77777777" w:rsidR="002D3EC1" w:rsidRDefault="002D3EC1" w:rsidP="002D3EC1">
      <w:pPr>
        <w:numPr>
          <w:ilvl w:val="0"/>
          <w:numId w:val="23"/>
        </w:numPr>
        <w:tabs>
          <w:tab w:val="left" w:pos="1455"/>
        </w:tabs>
        <w:spacing w:line="276" w:lineRule="auto"/>
        <w:ind w:left="0" w:firstLineChars="200" w:firstLine="420"/>
        <w:rPr>
          <w:rFonts w:eastAsia="楷体_GB2312"/>
          <w:szCs w:val="21"/>
        </w:rPr>
      </w:pPr>
      <w:r>
        <w:rPr>
          <w:rFonts w:eastAsia="楷体_GB2312" w:hint="eastAsia"/>
          <w:szCs w:val="21"/>
        </w:rPr>
        <w:t>证券发行人如以证券形式分配投资收益的，由证券登记结算机构将分派的证券记录在“客户信用交易担保证券账户”内，并相应变更甲方信用证券账户的明细数据。</w:t>
      </w:r>
    </w:p>
    <w:p w14:paraId="4562D5EF" w14:textId="77777777" w:rsidR="002D3EC1" w:rsidRDefault="002D3EC1" w:rsidP="002D3EC1">
      <w:pPr>
        <w:numPr>
          <w:ilvl w:val="0"/>
          <w:numId w:val="23"/>
        </w:numPr>
        <w:tabs>
          <w:tab w:val="left" w:pos="1455"/>
        </w:tabs>
        <w:spacing w:line="276" w:lineRule="auto"/>
        <w:ind w:left="0" w:firstLineChars="200" w:firstLine="420"/>
        <w:rPr>
          <w:rFonts w:eastAsia="楷体_GB2312"/>
          <w:szCs w:val="21"/>
        </w:rPr>
      </w:pPr>
      <w:r>
        <w:rPr>
          <w:rFonts w:eastAsia="楷体_GB2312" w:hint="eastAsia"/>
          <w:szCs w:val="21"/>
        </w:rPr>
        <w:t>证券发行人如以现金形式分配投资收益的，由证券登记结算机构将分派的资</w:t>
      </w:r>
      <w:r>
        <w:rPr>
          <w:rFonts w:eastAsia="楷体_GB2312" w:hint="eastAsia"/>
          <w:szCs w:val="21"/>
        </w:rPr>
        <w:lastRenderedPageBreak/>
        <w:t>金划入“信用交易资金交收账户”；乙方应当在资金到账后，通知存管银行对甲方信用资金账户的明细数据进行变更。</w:t>
      </w:r>
    </w:p>
    <w:p w14:paraId="7BB618FF" w14:textId="77777777" w:rsidR="002D3EC1" w:rsidRDefault="002D3EC1" w:rsidP="002D3EC1">
      <w:pPr>
        <w:numPr>
          <w:ilvl w:val="0"/>
          <w:numId w:val="23"/>
        </w:numPr>
        <w:tabs>
          <w:tab w:val="left" w:pos="1455"/>
        </w:tabs>
        <w:spacing w:line="276" w:lineRule="auto"/>
        <w:ind w:left="0" w:firstLineChars="200" w:firstLine="420"/>
        <w:rPr>
          <w:rFonts w:eastAsia="楷体_GB2312"/>
          <w:szCs w:val="21"/>
        </w:rPr>
      </w:pPr>
      <w:r>
        <w:rPr>
          <w:rFonts w:eastAsia="楷体_GB2312" w:hint="eastAsia"/>
          <w:szCs w:val="21"/>
        </w:rPr>
        <w:t>证券发行人向原股东配售股份、增发新股或发行权证、可转换债券、可分离交易可转债、原股东有优先认购权等情形时，证券登记结算机构根据甲方信用证券账户证券余额计增相关配股权或优先认购权，甲方根据本人意愿在有效期内发出认购申请，认购证券自动记入甲方信用证券账户。</w:t>
      </w:r>
    </w:p>
    <w:p w14:paraId="13E9F36A"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融券交易所产生的权益</w:t>
      </w:r>
    </w:p>
    <w:p w14:paraId="112BD7E4" w14:textId="77777777" w:rsidR="002D3EC1" w:rsidRDefault="002D3EC1" w:rsidP="002D3EC1">
      <w:pPr>
        <w:spacing w:line="276" w:lineRule="auto"/>
        <w:ind w:leftChars="67" w:left="141" w:firstLineChars="200" w:firstLine="420"/>
        <w:rPr>
          <w:rFonts w:eastAsia="楷体_GB2312"/>
          <w:szCs w:val="21"/>
        </w:rPr>
      </w:pPr>
      <w:r>
        <w:rPr>
          <w:rFonts w:eastAsia="楷体_GB2312" w:hint="eastAsia"/>
          <w:szCs w:val="21"/>
        </w:rPr>
        <w:t>甲方融入证券后、归还证券前，证券发行人派发现金红利、股票红利或转增股份、向证券持有人配售股份、增发新股、发行权证、可转换债券、可分离交易可转债、证券持有人有优先认购权的证券的，甲方应当向乙方支付与所融入证券可得利益相等的证券或资金。</w:t>
      </w:r>
    </w:p>
    <w:p w14:paraId="5A060A03" w14:textId="77777777" w:rsidR="002D3EC1" w:rsidRDefault="002D3EC1" w:rsidP="002D3EC1">
      <w:pPr>
        <w:spacing w:line="276" w:lineRule="auto"/>
        <w:ind w:firstLineChars="200" w:firstLine="420"/>
        <w:rPr>
          <w:rFonts w:eastAsia="楷体_GB2312"/>
          <w:szCs w:val="21"/>
        </w:rPr>
      </w:pPr>
      <w:r>
        <w:rPr>
          <w:rFonts w:eastAsia="楷体_GB2312" w:hint="eastAsia"/>
          <w:szCs w:val="21"/>
        </w:rPr>
        <w:t>乙方拥有是否主张所借出证券的关于配股、增发、配售可转债、可分离交易可转债等权益的选择权利。乙方不主张上述权益的，应在证券发行人公告之日起五个交易日（不含）内通知甲方，如果乙方放弃配售或认购的权利，则甲方无须支付补偿金额。如果乙方主张行使上述权益且补偿金额大于零，应在证券发行人公告之日起五个交易日（不含）内通知甲方。甲方应按照以下内容计算补偿金额：</w:t>
      </w:r>
    </w:p>
    <w:p w14:paraId="34BAFA2B" w14:textId="77777777" w:rsidR="002D3EC1" w:rsidRDefault="002D3EC1" w:rsidP="002D3EC1">
      <w:pPr>
        <w:numPr>
          <w:ilvl w:val="0"/>
          <w:numId w:val="25"/>
        </w:numPr>
        <w:spacing w:line="276" w:lineRule="auto"/>
        <w:ind w:left="0" w:firstLineChars="200" w:firstLine="420"/>
        <w:rPr>
          <w:rFonts w:eastAsia="楷体_GB2312"/>
          <w:szCs w:val="21"/>
        </w:rPr>
      </w:pPr>
      <w:r>
        <w:rPr>
          <w:rFonts w:eastAsia="楷体_GB2312" w:hint="eastAsia"/>
          <w:szCs w:val="21"/>
        </w:rPr>
        <w:t>甲方向乙方融入证券后、归还证券前，证券发行人派发现金红利的，甲方应当向乙方补偿相应金额的现金红利。乙方在现金红利到账日从甲方信用资金账户中予以扣收。甲方信用资金账户中现金余额不足的，所欠部分按照罚息率计收罚息。</w:t>
      </w:r>
    </w:p>
    <w:p w14:paraId="041C1EBD" w14:textId="77777777" w:rsidR="002D3EC1" w:rsidRDefault="002D3EC1" w:rsidP="002D3EC1">
      <w:pPr>
        <w:numPr>
          <w:ilvl w:val="0"/>
          <w:numId w:val="25"/>
        </w:numPr>
        <w:spacing w:line="276" w:lineRule="auto"/>
        <w:ind w:left="0" w:firstLineChars="200" w:firstLine="420"/>
        <w:rPr>
          <w:rFonts w:eastAsia="楷体_GB2312"/>
          <w:szCs w:val="21"/>
        </w:rPr>
      </w:pPr>
      <w:r>
        <w:rPr>
          <w:rFonts w:eastAsia="楷体_GB2312" w:hint="eastAsia"/>
          <w:szCs w:val="21"/>
        </w:rPr>
        <w:t>甲方向乙方融入证券后、归还证券前，证券发行人派发股票红利或转增股份的，甲方应当向乙方补偿相应数量的证券。在相应除权日由乙方在甲方信用证券账户中直接增加相应融券负债。</w:t>
      </w:r>
    </w:p>
    <w:p w14:paraId="45D3E757" w14:textId="77777777" w:rsidR="002D3EC1" w:rsidRDefault="002D3EC1" w:rsidP="002D3EC1">
      <w:pPr>
        <w:numPr>
          <w:ilvl w:val="0"/>
          <w:numId w:val="25"/>
        </w:numPr>
        <w:spacing w:line="276" w:lineRule="auto"/>
        <w:ind w:left="0" w:firstLineChars="200" w:firstLine="420"/>
        <w:rPr>
          <w:rFonts w:eastAsia="楷体_GB2312"/>
          <w:szCs w:val="21"/>
        </w:rPr>
      </w:pPr>
      <w:r>
        <w:rPr>
          <w:rFonts w:eastAsia="楷体_GB2312" w:hint="eastAsia"/>
          <w:szCs w:val="21"/>
        </w:rPr>
        <w:t>甲方向乙方融入证券后、归还证券前，证券发行人配股的，甲方可在</w:t>
      </w:r>
      <w:r>
        <w:rPr>
          <w:rFonts w:eastAsia="楷体_GB2312"/>
          <w:szCs w:val="21"/>
        </w:rPr>
        <w:t>T-</w:t>
      </w:r>
      <w:r>
        <w:rPr>
          <w:rFonts w:eastAsia="楷体_GB2312" w:hint="eastAsia"/>
          <w:szCs w:val="21"/>
        </w:rPr>
        <w:t>1</w:t>
      </w:r>
      <w:r>
        <w:rPr>
          <w:rFonts w:eastAsia="楷体_GB2312" w:hint="eastAsia"/>
          <w:szCs w:val="21"/>
        </w:rPr>
        <w:t>日</w:t>
      </w:r>
      <w:r>
        <w:rPr>
          <w:rFonts w:eastAsia="楷体_GB2312"/>
          <w:szCs w:val="21"/>
        </w:rPr>
        <w:t>15</w:t>
      </w:r>
      <w:r>
        <w:rPr>
          <w:rFonts w:eastAsia="楷体_GB2312" w:hint="eastAsia"/>
          <w:szCs w:val="21"/>
        </w:rPr>
        <w:t>：</w:t>
      </w:r>
      <w:r>
        <w:rPr>
          <w:rFonts w:eastAsia="楷体_GB2312"/>
          <w:szCs w:val="21"/>
        </w:rPr>
        <w:t>00</w:t>
      </w:r>
      <w:r>
        <w:rPr>
          <w:rFonts w:eastAsia="楷体_GB2312" w:hint="eastAsia"/>
          <w:szCs w:val="21"/>
        </w:rPr>
        <w:t>前（</w:t>
      </w:r>
      <w:r>
        <w:rPr>
          <w:rFonts w:eastAsia="楷体_GB2312"/>
          <w:szCs w:val="21"/>
        </w:rPr>
        <w:t>T</w:t>
      </w:r>
      <w:r>
        <w:rPr>
          <w:rFonts w:eastAsia="楷体_GB2312" w:hint="eastAsia"/>
          <w:szCs w:val="21"/>
        </w:rPr>
        <w:t>日为股权登记日）了结相关的融券债务。甲方未在</w:t>
      </w:r>
      <w:r>
        <w:rPr>
          <w:rFonts w:eastAsia="楷体_GB2312"/>
          <w:szCs w:val="21"/>
        </w:rPr>
        <w:t>T-</w:t>
      </w:r>
      <w:r>
        <w:rPr>
          <w:rFonts w:eastAsia="楷体_GB2312" w:hint="eastAsia"/>
          <w:szCs w:val="21"/>
        </w:rPr>
        <w:t>1</w:t>
      </w:r>
      <w:r>
        <w:rPr>
          <w:rFonts w:eastAsia="楷体_GB2312" w:hint="eastAsia"/>
          <w:szCs w:val="21"/>
        </w:rPr>
        <w:t>日</w:t>
      </w:r>
      <w:r>
        <w:rPr>
          <w:rFonts w:eastAsia="楷体_GB2312"/>
          <w:szCs w:val="21"/>
        </w:rPr>
        <w:t>15</w:t>
      </w:r>
      <w:r>
        <w:rPr>
          <w:rFonts w:eastAsia="楷体_GB2312" w:hint="eastAsia"/>
          <w:szCs w:val="21"/>
        </w:rPr>
        <w:t>：</w:t>
      </w:r>
      <w:r>
        <w:rPr>
          <w:rFonts w:eastAsia="楷体_GB2312"/>
          <w:szCs w:val="21"/>
        </w:rPr>
        <w:t>00</w:t>
      </w:r>
      <w:r>
        <w:rPr>
          <w:rFonts w:eastAsia="楷体_GB2312" w:hint="eastAsia"/>
          <w:szCs w:val="21"/>
        </w:rPr>
        <w:t>前了结融券债务的，应以现金方式进行补偿。补偿数额按照以下公式计算：</w:t>
      </w:r>
    </w:p>
    <w:p w14:paraId="6D5ED4A9" w14:textId="77777777" w:rsidR="002D3EC1" w:rsidRDefault="002D3EC1" w:rsidP="002D3EC1">
      <w:pPr>
        <w:spacing w:line="276" w:lineRule="auto"/>
        <w:rPr>
          <w:rFonts w:ascii="华文楷体" w:eastAsia="华文楷体" w:hAnsi="华文楷体"/>
          <w:b/>
          <w:szCs w:val="21"/>
        </w:rPr>
      </w:pPr>
      <w:r w:rsidRPr="001A1986">
        <w:rPr>
          <w:rFonts w:ascii="华文楷体" w:eastAsia="华文楷体" w:hAnsi="华文楷体" w:hint="eastAsia"/>
          <w:b/>
          <w:position w:val="-14"/>
          <w:szCs w:val="21"/>
        </w:rPr>
        <w:object w:dxaOrig="5920" w:dyaOrig="400" w14:anchorId="6EF14B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96.5pt;height:20pt" o:ole="">
            <v:imagedata r:id="rId10" o:title=""/>
          </v:shape>
          <o:OLEObject Type="Embed" ProgID="Equation.DSMT4" ShapeID="Picture 1" DrawAspect="Content" ObjectID="_1507363089" r:id="rId11"/>
        </w:object>
      </w:r>
    </w:p>
    <w:p w14:paraId="6A11525A" w14:textId="77777777" w:rsidR="002D3EC1" w:rsidRDefault="002D3EC1" w:rsidP="002D3EC1">
      <w:pPr>
        <w:widowControl/>
        <w:shd w:val="clear" w:color="auto" w:fill="FFFFFF"/>
        <w:ind w:right="79" w:firstLineChars="200" w:firstLine="420"/>
        <w:jc w:val="left"/>
        <w:rPr>
          <w:rFonts w:eastAsia="楷体_GB2312"/>
          <w:szCs w:val="21"/>
        </w:rPr>
      </w:pPr>
      <w:r>
        <w:rPr>
          <w:rFonts w:eastAsia="楷体_GB2312"/>
          <w:szCs w:val="21"/>
        </w:rPr>
        <w:t>其中：配股除权价格取理论配股除权价格与配股除权日成交均价两者之间孰低。</w:t>
      </w:r>
    </w:p>
    <w:p w14:paraId="35912362" w14:textId="77777777" w:rsidR="002D3EC1" w:rsidRDefault="002D3EC1" w:rsidP="002D3EC1">
      <w:pPr>
        <w:widowControl/>
        <w:shd w:val="clear" w:color="auto" w:fill="FFFFFF"/>
        <w:ind w:right="79" w:firstLineChars="200" w:firstLine="420"/>
        <w:jc w:val="left"/>
        <w:rPr>
          <w:rFonts w:eastAsia="楷体_GB2312"/>
          <w:szCs w:val="21"/>
        </w:rPr>
      </w:pPr>
      <w:r>
        <w:rPr>
          <w:rFonts w:eastAsia="楷体_GB2312"/>
          <w:szCs w:val="21"/>
        </w:rPr>
        <w:t>理论配股除权价格</w:t>
      </w:r>
      <w:r>
        <w:rPr>
          <w:rFonts w:eastAsia="楷体_GB2312"/>
          <w:szCs w:val="21"/>
        </w:rPr>
        <w:t>=</w:t>
      </w:r>
      <w:r>
        <w:rPr>
          <w:rFonts w:eastAsia="楷体_GB2312"/>
          <w:szCs w:val="21"/>
        </w:rPr>
        <w:t>（</w:t>
      </w:r>
      <w:r>
        <w:rPr>
          <w:rFonts w:eastAsia="楷体_GB2312" w:hint="eastAsia"/>
          <w:szCs w:val="21"/>
        </w:rPr>
        <w:t>配股登记日收盘价</w:t>
      </w:r>
      <w:r>
        <w:rPr>
          <w:rFonts w:eastAsia="楷体_GB2312"/>
          <w:szCs w:val="21"/>
        </w:rPr>
        <w:t>+</w:t>
      </w:r>
      <w:r>
        <w:rPr>
          <w:rFonts w:eastAsia="楷体_GB2312"/>
          <w:szCs w:val="21"/>
        </w:rPr>
        <w:t>配股比例</w:t>
      </w:r>
      <w:r>
        <w:rPr>
          <w:rFonts w:eastAsia="楷体_GB2312"/>
          <w:szCs w:val="21"/>
        </w:rPr>
        <w:t>×</w:t>
      </w:r>
      <w:r>
        <w:rPr>
          <w:rFonts w:eastAsia="楷体_GB2312"/>
          <w:szCs w:val="21"/>
        </w:rPr>
        <w:t>配股价）</w:t>
      </w:r>
      <w:r>
        <w:rPr>
          <w:rFonts w:eastAsia="楷体_GB2312"/>
          <w:szCs w:val="21"/>
        </w:rPr>
        <w:t>/(1+</w:t>
      </w:r>
      <w:r>
        <w:rPr>
          <w:rFonts w:eastAsia="楷体_GB2312"/>
          <w:szCs w:val="21"/>
        </w:rPr>
        <w:t>配股比例</w:t>
      </w:r>
      <w:r>
        <w:rPr>
          <w:rFonts w:eastAsia="楷体_GB2312"/>
          <w:szCs w:val="21"/>
        </w:rPr>
        <w:t>)</w:t>
      </w:r>
    </w:p>
    <w:p w14:paraId="1C073488" w14:textId="77777777" w:rsidR="002D3EC1" w:rsidRDefault="002D3EC1" w:rsidP="002D3EC1">
      <w:pPr>
        <w:spacing w:line="276" w:lineRule="auto"/>
        <w:ind w:firstLineChars="200" w:firstLine="420"/>
        <w:rPr>
          <w:rFonts w:eastAsia="楷体_GB2312"/>
          <w:szCs w:val="21"/>
        </w:rPr>
      </w:pPr>
      <w:r>
        <w:rPr>
          <w:rFonts w:eastAsia="楷体_GB2312" w:hint="eastAsia"/>
          <w:szCs w:val="21"/>
        </w:rPr>
        <w:t>乙方在配股除权日从甲方信用资金账户中扣除相应数额的现金。甲方信用资金账户中现金余额不足的，所欠部分按照罚息率计收罚息。</w:t>
      </w:r>
    </w:p>
    <w:p w14:paraId="5B76F549" w14:textId="77777777" w:rsidR="002D3EC1" w:rsidRDefault="002D3EC1" w:rsidP="002D3EC1">
      <w:pPr>
        <w:numPr>
          <w:ilvl w:val="0"/>
          <w:numId w:val="25"/>
        </w:numPr>
        <w:spacing w:line="276" w:lineRule="auto"/>
        <w:ind w:left="0" w:firstLineChars="200" w:firstLine="420"/>
        <w:rPr>
          <w:rFonts w:eastAsia="楷体_GB2312"/>
          <w:szCs w:val="21"/>
        </w:rPr>
      </w:pPr>
      <w:r>
        <w:rPr>
          <w:rFonts w:eastAsia="楷体_GB2312" w:hint="eastAsia"/>
          <w:szCs w:val="21"/>
        </w:rPr>
        <w:t>甲方向乙方融入证券后、归还证券前，证券发行人增发新股的，甲方可在</w:t>
      </w:r>
      <w:r>
        <w:rPr>
          <w:rFonts w:eastAsia="楷体_GB2312"/>
          <w:szCs w:val="21"/>
        </w:rPr>
        <w:t>T-</w:t>
      </w:r>
      <w:r>
        <w:rPr>
          <w:rFonts w:eastAsia="楷体_GB2312" w:hint="eastAsia"/>
          <w:szCs w:val="21"/>
        </w:rPr>
        <w:t>1</w:t>
      </w:r>
      <w:r>
        <w:rPr>
          <w:rFonts w:eastAsia="楷体_GB2312" w:hint="eastAsia"/>
          <w:szCs w:val="21"/>
        </w:rPr>
        <w:t>日</w:t>
      </w:r>
      <w:r>
        <w:rPr>
          <w:rFonts w:eastAsia="楷体_GB2312"/>
          <w:szCs w:val="21"/>
        </w:rPr>
        <w:t>15</w:t>
      </w:r>
      <w:r>
        <w:rPr>
          <w:rFonts w:eastAsia="楷体_GB2312" w:hint="eastAsia"/>
          <w:szCs w:val="21"/>
        </w:rPr>
        <w:t>：</w:t>
      </w:r>
      <w:r>
        <w:rPr>
          <w:rFonts w:eastAsia="楷体_GB2312"/>
          <w:szCs w:val="21"/>
        </w:rPr>
        <w:t>00</w:t>
      </w:r>
      <w:r>
        <w:rPr>
          <w:rFonts w:eastAsia="楷体_GB2312" w:hint="eastAsia"/>
          <w:szCs w:val="21"/>
        </w:rPr>
        <w:t>前（</w:t>
      </w:r>
      <w:r>
        <w:rPr>
          <w:rFonts w:eastAsia="楷体_GB2312"/>
          <w:szCs w:val="21"/>
        </w:rPr>
        <w:t>T</w:t>
      </w:r>
      <w:r>
        <w:rPr>
          <w:rFonts w:eastAsia="楷体_GB2312" w:hint="eastAsia"/>
          <w:szCs w:val="21"/>
        </w:rPr>
        <w:t>日为股权登记日）了结相关的融券债务。甲方未在</w:t>
      </w:r>
      <w:r>
        <w:rPr>
          <w:rFonts w:eastAsia="楷体_GB2312"/>
          <w:szCs w:val="21"/>
        </w:rPr>
        <w:t>T-</w:t>
      </w:r>
      <w:r>
        <w:rPr>
          <w:rFonts w:eastAsia="楷体_GB2312" w:hint="eastAsia"/>
          <w:szCs w:val="21"/>
        </w:rPr>
        <w:t>1</w:t>
      </w:r>
      <w:r>
        <w:rPr>
          <w:rFonts w:eastAsia="楷体_GB2312" w:hint="eastAsia"/>
          <w:szCs w:val="21"/>
        </w:rPr>
        <w:t>日</w:t>
      </w:r>
      <w:r>
        <w:rPr>
          <w:rFonts w:eastAsia="楷体_GB2312"/>
          <w:szCs w:val="21"/>
        </w:rPr>
        <w:t>15</w:t>
      </w:r>
      <w:r>
        <w:rPr>
          <w:rFonts w:eastAsia="楷体_GB2312" w:hint="eastAsia"/>
          <w:szCs w:val="21"/>
        </w:rPr>
        <w:t>：</w:t>
      </w:r>
      <w:r>
        <w:rPr>
          <w:rFonts w:eastAsia="楷体_GB2312"/>
          <w:szCs w:val="21"/>
        </w:rPr>
        <w:t>00</w:t>
      </w:r>
      <w:r>
        <w:rPr>
          <w:rFonts w:eastAsia="楷体_GB2312" w:hint="eastAsia"/>
          <w:szCs w:val="21"/>
        </w:rPr>
        <w:t>前了结融券债务的，应以现金方式进行补偿。补偿数额按照以下公式计算：</w:t>
      </w:r>
    </w:p>
    <w:p w14:paraId="7DACCDFA" w14:textId="77777777" w:rsidR="002D3EC1" w:rsidRDefault="002D3EC1" w:rsidP="002D3EC1">
      <w:pPr>
        <w:spacing w:line="276" w:lineRule="auto"/>
        <w:rPr>
          <w:rFonts w:eastAsia="楷体_GB2312"/>
          <w:szCs w:val="21"/>
        </w:rPr>
      </w:pPr>
      <w:r w:rsidRPr="001A1986">
        <w:rPr>
          <w:rFonts w:eastAsia="楷体_GB2312"/>
          <w:position w:val="-30"/>
          <w:szCs w:val="21"/>
        </w:rPr>
        <w:object w:dxaOrig="8440" w:dyaOrig="720" w14:anchorId="39ED021F">
          <v:shape id="Picture 2" o:spid="_x0000_i1026" type="#_x0000_t75" style="width:422pt;height:36.5pt" o:ole="">
            <v:imagedata r:id="rId12" o:title=""/>
          </v:shape>
          <o:OLEObject Type="Embed" ProgID="Equation.DSMT4" ShapeID="Picture 2" DrawAspect="Content" ObjectID="_1507363090" r:id="rId13"/>
        </w:object>
      </w:r>
      <w:r>
        <w:rPr>
          <w:rFonts w:eastAsia="楷体_GB2312" w:hint="eastAsia"/>
          <w:szCs w:val="21"/>
        </w:rPr>
        <w:t xml:space="preserve">    </w:t>
      </w:r>
      <w:r>
        <w:rPr>
          <w:rFonts w:eastAsia="楷体_GB2312" w:hint="eastAsia"/>
          <w:szCs w:val="21"/>
        </w:rPr>
        <w:t>乙方在增发新股上市首日从甲方信用资金账户中扣除相应数额的现金。甲方信用资金账户中现金余额不足的，所欠部分按照罚息率计收罚息。</w:t>
      </w:r>
    </w:p>
    <w:p w14:paraId="6966F591" w14:textId="77777777" w:rsidR="002D3EC1" w:rsidRDefault="002D3EC1" w:rsidP="002D3EC1">
      <w:pPr>
        <w:numPr>
          <w:ilvl w:val="0"/>
          <w:numId w:val="25"/>
        </w:numPr>
        <w:spacing w:line="276" w:lineRule="auto"/>
        <w:ind w:left="0" w:firstLine="426"/>
        <w:rPr>
          <w:rFonts w:eastAsia="楷体_GB2312"/>
          <w:szCs w:val="21"/>
        </w:rPr>
      </w:pPr>
      <w:r>
        <w:rPr>
          <w:rFonts w:eastAsia="楷体_GB2312" w:hint="eastAsia"/>
          <w:szCs w:val="21"/>
        </w:rPr>
        <w:lastRenderedPageBreak/>
        <w:t>甲方向乙方融入证券后、归还证券前，证券发行人发行权证的，甲方可在</w:t>
      </w:r>
      <w:r>
        <w:rPr>
          <w:rFonts w:eastAsia="楷体_GB2312"/>
          <w:szCs w:val="21"/>
        </w:rPr>
        <w:t>T-</w:t>
      </w:r>
      <w:r>
        <w:rPr>
          <w:rFonts w:eastAsia="楷体_GB2312" w:hint="eastAsia"/>
          <w:szCs w:val="21"/>
        </w:rPr>
        <w:t>1</w:t>
      </w:r>
      <w:r>
        <w:rPr>
          <w:rFonts w:eastAsia="楷体_GB2312" w:hint="eastAsia"/>
          <w:szCs w:val="21"/>
        </w:rPr>
        <w:t>日</w:t>
      </w:r>
      <w:r>
        <w:rPr>
          <w:rFonts w:eastAsia="楷体_GB2312"/>
          <w:szCs w:val="21"/>
        </w:rPr>
        <w:t>15</w:t>
      </w:r>
      <w:r>
        <w:rPr>
          <w:rFonts w:eastAsia="楷体_GB2312" w:hint="eastAsia"/>
          <w:szCs w:val="21"/>
        </w:rPr>
        <w:t>：</w:t>
      </w:r>
      <w:r>
        <w:rPr>
          <w:rFonts w:eastAsia="楷体_GB2312"/>
          <w:szCs w:val="21"/>
        </w:rPr>
        <w:t>00</w:t>
      </w:r>
      <w:r>
        <w:rPr>
          <w:rFonts w:eastAsia="楷体_GB2312" w:hint="eastAsia"/>
          <w:szCs w:val="21"/>
        </w:rPr>
        <w:t>前（</w:t>
      </w:r>
      <w:r>
        <w:rPr>
          <w:rFonts w:eastAsia="楷体_GB2312"/>
          <w:szCs w:val="21"/>
        </w:rPr>
        <w:t>T</w:t>
      </w:r>
      <w:r>
        <w:rPr>
          <w:rFonts w:eastAsia="楷体_GB2312" w:hint="eastAsia"/>
          <w:szCs w:val="21"/>
        </w:rPr>
        <w:t>日为股权登记日）了结相关的融券债务。甲方未在</w:t>
      </w:r>
      <w:r>
        <w:rPr>
          <w:rFonts w:eastAsia="楷体_GB2312"/>
          <w:szCs w:val="21"/>
        </w:rPr>
        <w:t>T-</w:t>
      </w:r>
      <w:r>
        <w:rPr>
          <w:rFonts w:eastAsia="楷体_GB2312" w:hint="eastAsia"/>
          <w:szCs w:val="21"/>
        </w:rPr>
        <w:t>1</w:t>
      </w:r>
      <w:r>
        <w:rPr>
          <w:rFonts w:eastAsia="楷体_GB2312" w:hint="eastAsia"/>
          <w:szCs w:val="21"/>
        </w:rPr>
        <w:t>日</w:t>
      </w:r>
      <w:r>
        <w:rPr>
          <w:rFonts w:eastAsia="楷体_GB2312"/>
          <w:szCs w:val="21"/>
        </w:rPr>
        <w:t>15</w:t>
      </w:r>
      <w:r>
        <w:rPr>
          <w:rFonts w:eastAsia="楷体_GB2312" w:hint="eastAsia"/>
          <w:szCs w:val="21"/>
        </w:rPr>
        <w:t>：</w:t>
      </w:r>
      <w:r>
        <w:rPr>
          <w:rFonts w:eastAsia="楷体_GB2312"/>
          <w:szCs w:val="21"/>
        </w:rPr>
        <w:t>00</w:t>
      </w:r>
      <w:r>
        <w:rPr>
          <w:rFonts w:eastAsia="楷体_GB2312" w:hint="eastAsia"/>
          <w:szCs w:val="21"/>
        </w:rPr>
        <w:t>前了结融券债务的，应以现金方式进行补偿。补偿数额按照以下公式计算：</w:t>
      </w:r>
    </w:p>
    <w:p w14:paraId="2DE79E5C" w14:textId="77777777" w:rsidR="002D3EC1" w:rsidRDefault="002D3EC1" w:rsidP="002D3EC1">
      <w:pPr>
        <w:spacing w:line="276" w:lineRule="auto"/>
        <w:rPr>
          <w:rFonts w:eastAsia="楷体_GB2312"/>
          <w:szCs w:val="21"/>
        </w:rPr>
      </w:pPr>
      <w:r w:rsidRPr="001A1986">
        <w:rPr>
          <w:rFonts w:eastAsia="楷体_GB2312"/>
          <w:position w:val="-30"/>
          <w:szCs w:val="21"/>
        </w:rPr>
        <w:object w:dxaOrig="8200" w:dyaOrig="720" w14:anchorId="54773042">
          <v:shape id="Picture 3" o:spid="_x0000_i1027" type="#_x0000_t75" style="width:411pt;height:36.5pt" o:ole="">
            <v:imagedata r:id="rId14" o:title=""/>
          </v:shape>
          <o:OLEObject Type="Embed" ProgID="Equation.DSMT4" ShapeID="Picture 3" DrawAspect="Content" ObjectID="_1507363091" r:id="rId15"/>
        </w:object>
      </w:r>
    </w:p>
    <w:p w14:paraId="29B2EB5E" w14:textId="77777777" w:rsidR="002D3EC1" w:rsidRDefault="002D3EC1" w:rsidP="002D3EC1">
      <w:pPr>
        <w:spacing w:line="276" w:lineRule="auto"/>
        <w:ind w:firstLineChars="200" w:firstLine="420"/>
        <w:rPr>
          <w:rFonts w:eastAsia="楷体_GB2312"/>
          <w:szCs w:val="21"/>
        </w:rPr>
      </w:pPr>
      <w:r>
        <w:rPr>
          <w:rFonts w:eastAsia="楷体_GB2312" w:hint="eastAsia"/>
          <w:szCs w:val="21"/>
        </w:rPr>
        <w:t>乙方在派发权证上市首日从甲方信用资金账户中扣除相应数额的现金。甲方信用资金账户中现金余额不足的，所欠部分按照罚息率计收罚息。</w:t>
      </w:r>
    </w:p>
    <w:p w14:paraId="4FFC349D" w14:textId="77777777" w:rsidR="002D3EC1" w:rsidRDefault="002D3EC1" w:rsidP="002D3EC1">
      <w:pPr>
        <w:numPr>
          <w:ilvl w:val="0"/>
          <w:numId w:val="25"/>
        </w:numPr>
        <w:spacing w:line="276" w:lineRule="auto"/>
        <w:ind w:left="-2" w:firstLineChars="202" w:firstLine="424"/>
        <w:rPr>
          <w:rFonts w:eastAsia="楷体_GB2312"/>
          <w:szCs w:val="21"/>
        </w:rPr>
      </w:pPr>
      <w:r>
        <w:rPr>
          <w:rFonts w:eastAsia="楷体_GB2312" w:hint="eastAsia"/>
          <w:szCs w:val="21"/>
        </w:rPr>
        <w:t>甲方向乙方融入证券后、归还证券前，证券发行人发行可转换债券的，甲方可在</w:t>
      </w:r>
      <w:r>
        <w:rPr>
          <w:rFonts w:eastAsia="楷体_GB2312"/>
          <w:szCs w:val="21"/>
        </w:rPr>
        <w:t>T-</w:t>
      </w:r>
      <w:r>
        <w:rPr>
          <w:rFonts w:eastAsia="楷体_GB2312" w:hint="eastAsia"/>
          <w:szCs w:val="21"/>
        </w:rPr>
        <w:t>1</w:t>
      </w:r>
      <w:r>
        <w:rPr>
          <w:rFonts w:eastAsia="楷体_GB2312" w:hint="eastAsia"/>
          <w:szCs w:val="21"/>
        </w:rPr>
        <w:t>日</w:t>
      </w:r>
      <w:r>
        <w:rPr>
          <w:rFonts w:eastAsia="楷体_GB2312"/>
          <w:szCs w:val="21"/>
        </w:rPr>
        <w:t>15</w:t>
      </w:r>
      <w:r>
        <w:rPr>
          <w:rFonts w:eastAsia="楷体_GB2312" w:hint="eastAsia"/>
          <w:szCs w:val="21"/>
        </w:rPr>
        <w:t>：</w:t>
      </w:r>
      <w:r>
        <w:rPr>
          <w:rFonts w:eastAsia="楷体_GB2312"/>
          <w:szCs w:val="21"/>
        </w:rPr>
        <w:t>00</w:t>
      </w:r>
      <w:r>
        <w:rPr>
          <w:rFonts w:eastAsia="楷体_GB2312" w:hint="eastAsia"/>
          <w:szCs w:val="21"/>
        </w:rPr>
        <w:t>前（</w:t>
      </w:r>
      <w:r>
        <w:rPr>
          <w:rFonts w:eastAsia="楷体_GB2312"/>
          <w:szCs w:val="21"/>
        </w:rPr>
        <w:t>T</w:t>
      </w:r>
      <w:r>
        <w:rPr>
          <w:rFonts w:eastAsia="楷体_GB2312" w:hint="eastAsia"/>
          <w:szCs w:val="21"/>
        </w:rPr>
        <w:t>日为股权登记日）了结相关的融券债务。甲方未在</w:t>
      </w:r>
      <w:r>
        <w:rPr>
          <w:rFonts w:eastAsia="楷体_GB2312"/>
          <w:szCs w:val="21"/>
        </w:rPr>
        <w:t>T-</w:t>
      </w:r>
      <w:r>
        <w:rPr>
          <w:rFonts w:eastAsia="楷体_GB2312" w:hint="eastAsia"/>
          <w:szCs w:val="21"/>
        </w:rPr>
        <w:t>1</w:t>
      </w:r>
      <w:r>
        <w:rPr>
          <w:rFonts w:eastAsia="楷体_GB2312" w:hint="eastAsia"/>
          <w:szCs w:val="21"/>
        </w:rPr>
        <w:t>日</w:t>
      </w:r>
      <w:r>
        <w:rPr>
          <w:rFonts w:eastAsia="楷体_GB2312"/>
          <w:szCs w:val="21"/>
        </w:rPr>
        <w:t>15</w:t>
      </w:r>
      <w:r>
        <w:rPr>
          <w:rFonts w:eastAsia="楷体_GB2312" w:hint="eastAsia"/>
          <w:szCs w:val="21"/>
        </w:rPr>
        <w:t>：</w:t>
      </w:r>
      <w:r>
        <w:rPr>
          <w:rFonts w:eastAsia="楷体_GB2312"/>
          <w:szCs w:val="21"/>
        </w:rPr>
        <w:t>00</w:t>
      </w:r>
      <w:r>
        <w:rPr>
          <w:rFonts w:eastAsia="楷体_GB2312" w:hint="eastAsia"/>
          <w:szCs w:val="21"/>
        </w:rPr>
        <w:t>前了结融券债务的，应以现金方式进行补偿。补偿数额按照以下公式计算：</w:t>
      </w:r>
    </w:p>
    <w:p w14:paraId="197B3F1B" w14:textId="77777777" w:rsidR="002D3EC1" w:rsidRDefault="002D3EC1" w:rsidP="002D3EC1">
      <w:pPr>
        <w:spacing w:line="276" w:lineRule="auto"/>
        <w:ind w:left="-2"/>
        <w:rPr>
          <w:rFonts w:eastAsia="楷体_GB2312"/>
          <w:szCs w:val="21"/>
        </w:rPr>
      </w:pPr>
      <w:r w:rsidRPr="001A1986">
        <w:rPr>
          <w:rFonts w:eastAsia="楷体_GB2312"/>
          <w:position w:val="-30"/>
          <w:szCs w:val="21"/>
        </w:rPr>
        <w:object w:dxaOrig="7960" w:dyaOrig="720" w14:anchorId="7B833B60">
          <v:shape id="Picture 4" o:spid="_x0000_i1028" type="#_x0000_t75" style="width:398.5pt;height:36.5pt" o:ole="">
            <v:imagedata r:id="rId16" o:title=""/>
          </v:shape>
          <o:OLEObject Type="Embed" ProgID="Equation.DSMT4" ShapeID="Picture 4" DrawAspect="Content" ObjectID="_1507363092" r:id="rId17"/>
        </w:object>
      </w:r>
    </w:p>
    <w:p w14:paraId="2830C102" w14:textId="77777777" w:rsidR="002D3EC1" w:rsidRDefault="002D3EC1" w:rsidP="002D3EC1">
      <w:pPr>
        <w:spacing w:line="276" w:lineRule="auto"/>
        <w:ind w:left="-2" w:firstLineChars="202" w:firstLine="424"/>
        <w:rPr>
          <w:rFonts w:eastAsia="楷体_GB2312"/>
          <w:szCs w:val="21"/>
        </w:rPr>
      </w:pPr>
      <w:r>
        <w:rPr>
          <w:rFonts w:eastAsia="楷体_GB2312" w:hint="eastAsia"/>
          <w:szCs w:val="21"/>
        </w:rPr>
        <w:t>乙方在债券上市首日从甲方信用资金账户中扣除相应数额的现金。甲方信用资金账户中现金余额不足的，所欠部分按照罚息率计收罚息。</w:t>
      </w:r>
    </w:p>
    <w:p w14:paraId="7169272A" w14:textId="77777777" w:rsidR="002D3EC1" w:rsidRDefault="002D3EC1" w:rsidP="002D3EC1">
      <w:pPr>
        <w:numPr>
          <w:ilvl w:val="0"/>
          <w:numId w:val="25"/>
        </w:numPr>
        <w:spacing w:line="276" w:lineRule="auto"/>
        <w:ind w:left="-2" w:firstLineChars="202" w:firstLine="424"/>
        <w:rPr>
          <w:rFonts w:eastAsia="楷体_GB2312"/>
          <w:szCs w:val="21"/>
        </w:rPr>
      </w:pPr>
      <w:r>
        <w:rPr>
          <w:rFonts w:eastAsia="楷体_GB2312" w:hint="eastAsia"/>
          <w:szCs w:val="21"/>
        </w:rPr>
        <w:t>甲方向乙方融入证券后、归还证券前，证券发行人发行可分离交易可转债的，甲方可在</w:t>
      </w:r>
      <w:r>
        <w:rPr>
          <w:rFonts w:eastAsia="楷体_GB2312"/>
          <w:szCs w:val="21"/>
        </w:rPr>
        <w:t>T-</w:t>
      </w:r>
      <w:r>
        <w:rPr>
          <w:rFonts w:eastAsia="楷体_GB2312" w:hint="eastAsia"/>
          <w:szCs w:val="21"/>
        </w:rPr>
        <w:t>1</w:t>
      </w:r>
      <w:r>
        <w:rPr>
          <w:rFonts w:eastAsia="楷体_GB2312" w:hint="eastAsia"/>
          <w:szCs w:val="21"/>
        </w:rPr>
        <w:t>日</w:t>
      </w:r>
      <w:r>
        <w:rPr>
          <w:rFonts w:eastAsia="楷体_GB2312"/>
          <w:szCs w:val="21"/>
        </w:rPr>
        <w:t>15</w:t>
      </w:r>
      <w:r>
        <w:rPr>
          <w:rFonts w:eastAsia="楷体_GB2312" w:hint="eastAsia"/>
          <w:szCs w:val="21"/>
        </w:rPr>
        <w:t>：</w:t>
      </w:r>
      <w:r>
        <w:rPr>
          <w:rFonts w:eastAsia="楷体_GB2312"/>
          <w:szCs w:val="21"/>
        </w:rPr>
        <w:t>00</w:t>
      </w:r>
      <w:r>
        <w:rPr>
          <w:rFonts w:eastAsia="楷体_GB2312" w:hint="eastAsia"/>
          <w:szCs w:val="21"/>
        </w:rPr>
        <w:t>前（</w:t>
      </w:r>
      <w:r>
        <w:rPr>
          <w:rFonts w:eastAsia="楷体_GB2312"/>
          <w:szCs w:val="21"/>
        </w:rPr>
        <w:t>T</w:t>
      </w:r>
      <w:r>
        <w:rPr>
          <w:rFonts w:eastAsia="楷体_GB2312" w:hint="eastAsia"/>
          <w:szCs w:val="21"/>
        </w:rPr>
        <w:t>日为股权登记日）了结相关的融券债务。甲方未在</w:t>
      </w:r>
      <w:r>
        <w:rPr>
          <w:rFonts w:eastAsia="楷体_GB2312"/>
          <w:szCs w:val="21"/>
        </w:rPr>
        <w:t>T-</w:t>
      </w:r>
      <w:r>
        <w:rPr>
          <w:rFonts w:eastAsia="楷体_GB2312" w:hint="eastAsia"/>
          <w:szCs w:val="21"/>
        </w:rPr>
        <w:t>1</w:t>
      </w:r>
      <w:r>
        <w:rPr>
          <w:rFonts w:eastAsia="楷体_GB2312" w:hint="eastAsia"/>
          <w:szCs w:val="21"/>
        </w:rPr>
        <w:t>日</w:t>
      </w:r>
      <w:r>
        <w:rPr>
          <w:rFonts w:eastAsia="楷体_GB2312"/>
          <w:szCs w:val="21"/>
        </w:rPr>
        <w:t>15</w:t>
      </w:r>
      <w:r>
        <w:rPr>
          <w:rFonts w:eastAsia="楷体_GB2312" w:hint="eastAsia"/>
          <w:szCs w:val="21"/>
        </w:rPr>
        <w:t>：</w:t>
      </w:r>
      <w:r>
        <w:rPr>
          <w:rFonts w:eastAsia="楷体_GB2312"/>
          <w:szCs w:val="21"/>
        </w:rPr>
        <w:t>00</w:t>
      </w:r>
      <w:r>
        <w:rPr>
          <w:rFonts w:eastAsia="楷体_GB2312" w:hint="eastAsia"/>
          <w:szCs w:val="21"/>
        </w:rPr>
        <w:t>前了结融券债务的，应以现金方式进行补偿，补偿金额为债券产生的补偿金额与所附权证产生的补偿金额之和。补偿数额按照以下公式计算：</w:t>
      </w:r>
    </w:p>
    <w:p w14:paraId="6A10745C" w14:textId="77777777" w:rsidR="002D3EC1" w:rsidRDefault="002D3EC1" w:rsidP="002D3EC1">
      <w:pPr>
        <w:spacing w:line="276" w:lineRule="auto"/>
        <w:rPr>
          <w:rFonts w:eastAsia="楷体_GB2312"/>
          <w:b/>
          <w:szCs w:val="21"/>
        </w:rPr>
      </w:pPr>
      <w:r w:rsidRPr="001A1986">
        <w:rPr>
          <w:rFonts w:eastAsia="楷体_GB2312"/>
          <w:b/>
          <w:position w:val="-8"/>
          <w:szCs w:val="21"/>
        </w:rPr>
        <w:object w:dxaOrig="3440" w:dyaOrig="320" w14:anchorId="7489C530">
          <v:shape id="Picture 5" o:spid="_x0000_i1029" type="#_x0000_t75" style="width:172pt;height:16.5pt" o:ole="">
            <v:imagedata r:id="rId18" o:title=""/>
          </v:shape>
          <o:OLEObject Type="Embed" ProgID="Equation.DSMT4" ShapeID="Picture 5" DrawAspect="Content" ObjectID="_1507363093" r:id="rId19"/>
        </w:object>
      </w:r>
    </w:p>
    <w:p w14:paraId="144CE23D" w14:textId="77777777" w:rsidR="002D3EC1" w:rsidRDefault="002D3EC1" w:rsidP="002D3EC1">
      <w:pPr>
        <w:spacing w:line="276" w:lineRule="auto"/>
        <w:rPr>
          <w:rFonts w:eastAsia="楷体_GB2312"/>
          <w:b/>
          <w:szCs w:val="21"/>
        </w:rPr>
      </w:pPr>
      <w:r w:rsidRPr="001A1986">
        <w:rPr>
          <w:rFonts w:eastAsia="楷体_GB2312"/>
          <w:b/>
          <w:position w:val="-30"/>
          <w:szCs w:val="21"/>
        </w:rPr>
        <w:object w:dxaOrig="8060" w:dyaOrig="720" w14:anchorId="645EB141">
          <v:shape id="Picture 6" o:spid="_x0000_i1030" type="#_x0000_t75" style="width:403pt;height:36.5pt" o:ole="">
            <v:imagedata r:id="rId20" o:title=""/>
          </v:shape>
          <o:OLEObject Type="Embed" ProgID="Equation.DSMT4" ShapeID="Picture 6" DrawAspect="Content" ObjectID="_1507363094" r:id="rId21"/>
        </w:object>
      </w:r>
    </w:p>
    <w:p w14:paraId="648FF874" w14:textId="77777777" w:rsidR="002D3EC1" w:rsidRDefault="002D3EC1" w:rsidP="002D3EC1">
      <w:pPr>
        <w:spacing w:line="276" w:lineRule="auto"/>
        <w:rPr>
          <w:rFonts w:eastAsia="楷体_GB2312"/>
          <w:szCs w:val="21"/>
        </w:rPr>
      </w:pPr>
      <w:r w:rsidRPr="001A1986">
        <w:rPr>
          <w:rFonts w:eastAsia="楷体_GB2312"/>
          <w:position w:val="-30"/>
          <w:szCs w:val="21"/>
        </w:rPr>
        <w:object w:dxaOrig="8320" w:dyaOrig="720" w14:anchorId="1FC2FD55">
          <v:shape id="Picture 7" o:spid="_x0000_i1031" type="#_x0000_t75" style="width:415pt;height:36.5pt" o:ole="">
            <v:imagedata r:id="rId22" o:title=""/>
          </v:shape>
          <o:OLEObject Type="Embed" ProgID="Equation.DSMT4" ShapeID="Picture 7" DrawAspect="Content" ObjectID="_1507363095" r:id="rId23"/>
        </w:object>
      </w:r>
      <w:r>
        <w:rPr>
          <w:rFonts w:eastAsia="楷体_GB2312" w:hint="eastAsia"/>
          <w:szCs w:val="21"/>
        </w:rPr>
        <w:t xml:space="preserve">    </w:t>
      </w:r>
      <w:r>
        <w:rPr>
          <w:rFonts w:eastAsia="楷体_GB2312" w:hint="eastAsia"/>
          <w:szCs w:val="21"/>
        </w:rPr>
        <w:t>乙方在债券和权证上市首日从甲方信用资金账户中扣除相应数额的现金。甲方信用资金账户中现金余额不足的，所欠部分按照罚息率计收罚息。</w:t>
      </w:r>
    </w:p>
    <w:p w14:paraId="023B601F" w14:textId="77777777" w:rsidR="002D3EC1" w:rsidRDefault="002D3EC1" w:rsidP="002D3EC1">
      <w:pPr>
        <w:numPr>
          <w:ilvl w:val="0"/>
          <w:numId w:val="25"/>
        </w:numPr>
        <w:spacing w:line="276" w:lineRule="auto"/>
        <w:ind w:left="-2" w:firstLineChars="202" w:firstLine="424"/>
        <w:rPr>
          <w:rFonts w:eastAsia="楷体_GB2312"/>
          <w:szCs w:val="21"/>
        </w:rPr>
      </w:pPr>
      <w:r>
        <w:rPr>
          <w:rFonts w:eastAsia="楷体_GB2312" w:hint="eastAsia"/>
          <w:szCs w:val="21"/>
        </w:rPr>
        <w:t>如果乙方主张行使上述融券交易所产生的权益，最终确定的补偿金额小于零，甲乙双方均不需要向对方支付补偿金额。</w:t>
      </w:r>
    </w:p>
    <w:p w14:paraId="3AE340E8" w14:textId="77777777" w:rsidR="002D3EC1" w:rsidRDefault="002D3EC1" w:rsidP="002D3EC1">
      <w:pPr>
        <w:numPr>
          <w:ilvl w:val="0"/>
          <w:numId w:val="25"/>
        </w:numPr>
        <w:spacing w:line="276" w:lineRule="auto"/>
        <w:ind w:left="-2" w:firstLineChars="202" w:firstLine="424"/>
        <w:rPr>
          <w:rFonts w:eastAsia="楷体_GB2312"/>
          <w:szCs w:val="21"/>
        </w:rPr>
      </w:pPr>
      <w:r>
        <w:rPr>
          <w:rFonts w:eastAsia="楷体_GB2312" w:hint="eastAsia"/>
          <w:szCs w:val="21"/>
        </w:rPr>
        <w:t>甲方在支付补偿金额前，乙方不接受甲方提出的信用账户销户申请。甲方补偿金额的偿还时间按本合同约定执行，不受融券债务到期限制。</w:t>
      </w:r>
    </w:p>
    <w:p w14:paraId="4D1DCF5A"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甲方及其一致行动人通过普通证券账户和信用证券账户持有一家上市公司股票或其权益的数量合计达到规定的比例时，应当依法履行相应的报告、信息披露或者要约收购义务。上述事务由甲方承担办理责任。</w:t>
      </w:r>
    </w:p>
    <w:p w14:paraId="0BA89DB2"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要约收购</w:t>
      </w:r>
    </w:p>
    <w:p w14:paraId="5EB65BA7" w14:textId="77777777" w:rsidR="002D3EC1" w:rsidRDefault="002D3EC1" w:rsidP="002D3EC1">
      <w:pPr>
        <w:numPr>
          <w:ilvl w:val="0"/>
          <w:numId w:val="26"/>
        </w:numPr>
        <w:spacing w:line="276" w:lineRule="auto"/>
        <w:ind w:left="0" w:firstLineChars="200" w:firstLine="420"/>
        <w:rPr>
          <w:rFonts w:eastAsia="楷体_GB2312"/>
          <w:szCs w:val="21"/>
        </w:rPr>
      </w:pPr>
      <w:r>
        <w:rPr>
          <w:rFonts w:eastAsia="楷体_GB2312" w:hint="eastAsia"/>
          <w:szCs w:val="21"/>
        </w:rPr>
        <w:t>可充抵保证金证券涉及要约收购情形时，甲方不得通过信用账户申报预受要约。</w:t>
      </w:r>
    </w:p>
    <w:p w14:paraId="14E6F308" w14:textId="77777777" w:rsidR="002D3EC1" w:rsidRDefault="002D3EC1" w:rsidP="002D3EC1">
      <w:pPr>
        <w:numPr>
          <w:ilvl w:val="0"/>
          <w:numId w:val="26"/>
        </w:numPr>
        <w:spacing w:line="276" w:lineRule="auto"/>
        <w:ind w:left="0" w:firstLineChars="200" w:firstLine="420"/>
        <w:rPr>
          <w:rFonts w:eastAsia="楷体_GB2312"/>
          <w:szCs w:val="21"/>
        </w:rPr>
      </w:pPr>
      <w:r>
        <w:rPr>
          <w:rFonts w:eastAsia="楷体_GB2312" w:hint="eastAsia"/>
          <w:szCs w:val="21"/>
        </w:rPr>
        <w:lastRenderedPageBreak/>
        <w:t>甲方欲申报预受要约的，应当在取得乙方同意后，申报将可充抵保证金证券从甲方信用证券账户划转到其普通证券账户中，并通过其普通证券账户申报预受要约。划转后甲方信用账户维持担保比例不得低于</w:t>
      </w:r>
      <w:r>
        <w:rPr>
          <w:rFonts w:eastAsia="楷体_GB2312"/>
          <w:szCs w:val="21"/>
        </w:rPr>
        <w:t>300%</w:t>
      </w:r>
      <w:r>
        <w:rPr>
          <w:rFonts w:eastAsia="楷体_GB2312" w:hint="eastAsia"/>
          <w:szCs w:val="21"/>
        </w:rPr>
        <w:t>。</w:t>
      </w:r>
    </w:p>
    <w:p w14:paraId="7B0639D1" w14:textId="77777777" w:rsidR="002D3EC1" w:rsidRDefault="002D3EC1" w:rsidP="002D3EC1">
      <w:pPr>
        <w:numPr>
          <w:ilvl w:val="0"/>
          <w:numId w:val="26"/>
        </w:numPr>
        <w:spacing w:line="276" w:lineRule="auto"/>
        <w:ind w:left="0" w:firstLineChars="200" w:firstLine="420"/>
        <w:rPr>
          <w:rFonts w:eastAsia="楷体_GB2312"/>
          <w:szCs w:val="21"/>
        </w:rPr>
      </w:pPr>
      <w:r>
        <w:rPr>
          <w:rFonts w:eastAsia="楷体_GB2312" w:hint="eastAsia"/>
          <w:szCs w:val="21"/>
        </w:rPr>
        <w:t>甲方融入证券涉及要约收购的，该笔融券债务到期日提前至该证券的预受要约截止日前第五个交易日，甲方应在此前了结该笔融券交易，否则乙方可以对甲方执行强制平仓。</w:t>
      </w:r>
    </w:p>
    <w:p w14:paraId="38E504CE"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通知与送达</w:t>
      </w:r>
    </w:p>
    <w:p w14:paraId="44F632AB"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除特别约定外，乙方可以邮寄、录音电话、手机短信息、电子邮件、乙方网站及营业场所公告等方式中的一种或多种方式向甲方发出通知。乙方按照上述任何一种方式进行通知的，视为乙方已经履行各项通知义务，同时视为甲方对乙方所通知的内容已全部知悉。</w:t>
      </w:r>
    </w:p>
    <w:p w14:paraId="3402B02D" w14:textId="77777777" w:rsidR="002D3EC1" w:rsidRDefault="002D3EC1" w:rsidP="002D3EC1">
      <w:pPr>
        <w:widowControl/>
        <w:numPr>
          <w:ilvl w:val="0"/>
          <w:numId w:val="27"/>
        </w:numPr>
        <w:spacing w:line="276" w:lineRule="auto"/>
        <w:ind w:left="0" w:firstLineChars="200" w:firstLine="420"/>
        <w:rPr>
          <w:rFonts w:eastAsia="楷体_GB2312" w:cs="宋体"/>
          <w:kern w:val="0"/>
          <w:szCs w:val="21"/>
        </w:rPr>
      </w:pPr>
      <w:r>
        <w:rPr>
          <w:rFonts w:eastAsia="楷体_GB2312" w:cs="宋体" w:hint="eastAsia"/>
          <w:kern w:val="0"/>
          <w:szCs w:val="21"/>
        </w:rPr>
        <w:t>乙方以邮寄方式通知的，寄出后</w:t>
      </w:r>
      <w:r>
        <w:rPr>
          <w:rFonts w:eastAsia="楷体_GB2312" w:cs="宋体" w:hint="eastAsia"/>
          <w:kern w:val="0"/>
          <w:szCs w:val="21"/>
        </w:rPr>
        <w:t>24</w:t>
      </w:r>
      <w:r>
        <w:rPr>
          <w:rFonts w:eastAsia="楷体_GB2312" w:cs="宋体" w:hint="eastAsia"/>
          <w:kern w:val="0"/>
          <w:szCs w:val="21"/>
        </w:rPr>
        <w:t>小时后视为已经通知送达。</w:t>
      </w:r>
    </w:p>
    <w:p w14:paraId="662D70F5" w14:textId="77777777" w:rsidR="002D3EC1" w:rsidRDefault="002D3EC1" w:rsidP="002D3EC1">
      <w:pPr>
        <w:widowControl/>
        <w:numPr>
          <w:ilvl w:val="0"/>
          <w:numId w:val="27"/>
        </w:numPr>
        <w:spacing w:line="276" w:lineRule="auto"/>
        <w:ind w:left="0" w:firstLineChars="200" w:firstLine="420"/>
        <w:rPr>
          <w:rFonts w:eastAsia="楷体_GB2312" w:cs="宋体"/>
          <w:kern w:val="0"/>
          <w:szCs w:val="21"/>
        </w:rPr>
      </w:pPr>
      <w:r>
        <w:rPr>
          <w:rFonts w:eastAsia="楷体_GB2312" w:cs="宋体" w:hint="eastAsia"/>
          <w:kern w:val="0"/>
          <w:szCs w:val="21"/>
        </w:rPr>
        <w:t>以录音电话方式通知的，通话当时视为已经通知送达。</w:t>
      </w:r>
    </w:p>
    <w:p w14:paraId="78535332" w14:textId="77777777" w:rsidR="002D3EC1" w:rsidRDefault="002D3EC1" w:rsidP="002D3EC1">
      <w:pPr>
        <w:widowControl/>
        <w:numPr>
          <w:ilvl w:val="0"/>
          <w:numId w:val="27"/>
        </w:numPr>
        <w:spacing w:line="276" w:lineRule="auto"/>
        <w:ind w:left="0" w:firstLineChars="200" w:firstLine="420"/>
        <w:rPr>
          <w:rFonts w:eastAsia="楷体_GB2312" w:cs="宋体"/>
          <w:kern w:val="0"/>
          <w:szCs w:val="21"/>
        </w:rPr>
      </w:pPr>
      <w:r>
        <w:rPr>
          <w:rFonts w:eastAsia="楷体_GB2312" w:cs="宋体" w:hint="eastAsia"/>
          <w:kern w:val="0"/>
          <w:szCs w:val="21"/>
        </w:rPr>
        <w:t>以手机短信息方式通知的，短信成功发出视为已经通知送达。</w:t>
      </w:r>
    </w:p>
    <w:p w14:paraId="2FABB075" w14:textId="77777777" w:rsidR="002D3EC1" w:rsidRDefault="002D3EC1" w:rsidP="002D3EC1">
      <w:pPr>
        <w:widowControl/>
        <w:numPr>
          <w:ilvl w:val="0"/>
          <w:numId w:val="27"/>
        </w:numPr>
        <w:spacing w:line="276" w:lineRule="auto"/>
        <w:ind w:left="0" w:firstLineChars="200" w:firstLine="420"/>
        <w:rPr>
          <w:rFonts w:eastAsia="楷体_GB2312" w:cs="宋体"/>
          <w:kern w:val="0"/>
          <w:szCs w:val="21"/>
        </w:rPr>
      </w:pPr>
      <w:r>
        <w:rPr>
          <w:rFonts w:eastAsia="楷体_GB2312" w:cs="宋体" w:hint="eastAsia"/>
          <w:kern w:val="0"/>
          <w:szCs w:val="21"/>
        </w:rPr>
        <w:t>以电子邮件方式发出通知的，电子邮件成功发出视为已经通知送达。</w:t>
      </w:r>
    </w:p>
    <w:p w14:paraId="689D45C1" w14:textId="77777777" w:rsidR="002D3EC1" w:rsidRDefault="002D3EC1" w:rsidP="002D3EC1">
      <w:pPr>
        <w:widowControl/>
        <w:numPr>
          <w:ilvl w:val="0"/>
          <w:numId w:val="27"/>
        </w:numPr>
        <w:spacing w:line="276" w:lineRule="auto"/>
        <w:ind w:left="0" w:firstLineChars="200" w:firstLine="420"/>
        <w:rPr>
          <w:rFonts w:eastAsia="楷体_GB2312" w:cs="宋体"/>
          <w:kern w:val="0"/>
          <w:szCs w:val="21"/>
        </w:rPr>
      </w:pPr>
      <w:r>
        <w:rPr>
          <w:rFonts w:eastAsia="楷体_GB2312" w:cs="宋体" w:hint="eastAsia"/>
          <w:kern w:val="0"/>
          <w:szCs w:val="21"/>
        </w:rPr>
        <w:t>以乙方网站和营业场所公告发布信息的，公告发布后视为已经通知送达。</w:t>
      </w:r>
    </w:p>
    <w:p w14:paraId="7489E15D"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对于下列内容，乙方以</w:t>
      </w:r>
      <w:r>
        <w:rPr>
          <w:rFonts w:eastAsia="楷体_GB2312" w:cs="宋体" w:hint="eastAsia"/>
          <w:kern w:val="0"/>
          <w:szCs w:val="21"/>
        </w:rPr>
        <w:t>录音电话、手机短信息、电子邮件方式中的至少两种通知甲方：</w:t>
      </w:r>
      <w:r>
        <w:rPr>
          <w:rFonts w:eastAsia="楷体_GB2312" w:hint="eastAsia"/>
          <w:szCs w:val="21"/>
        </w:rPr>
        <w:t>维持担保比例预警通知、平仓通知、平仓结果通知、合约到期通知、信用等级调整通知、权益补偿通知、提前了结通知、甲方账户资产被司法处置通知、甲方业务资格受限或被取消等乙方能够知晓的特殊事项通知。</w:t>
      </w:r>
    </w:p>
    <w:p w14:paraId="6897AE56"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甲方必须在本合同签署页上留存有效联络方式。</w:t>
      </w:r>
      <w:r>
        <w:rPr>
          <w:rFonts w:ascii="楷体_GB2312" w:eastAsia="楷体_GB2312" w:hAnsi="宋体" w:hint="eastAsia"/>
          <w:szCs w:val="21"/>
        </w:rPr>
        <w:t>甲方提供的</w:t>
      </w:r>
      <w:r>
        <w:rPr>
          <w:rFonts w:eastAsia="楷体_GB2312" w:hint="eastAsia"/>
          <w:szCs w:val="21"/>
        </w:rPr>
        <w:t>联络</w:t>
      </w:r>
      <w:r>
        <w:rPr>
          <w:rFonts w:ascii="楷体_GB2312" w:eastAsia="楷体_GB2312" w:hAnsi="宋体" w:hint="eastAsia"/>
          <w:szCs w:val="21"/>
        </w:rPr>
        <w:t>方式的真实、准确与甲方的利益密切相关，甲方承诺已如实提供。</w:t>
      </w:r>
      <w:r>
        <w:rPr>
          <w:rFonts w:eastAsia="楷体_GB2312" w:hint="eastAsia"/>
          <w:szCs w:val="21"/>
        </w:rPr>
        <w:t>甲方提供的联络方式有变动的，应当在</w:t>
      </w:r>
      <w:r>
        <w:rPr>
          <w:rFonts w:eastAsia="楷体_GB2312"/>
          <w:szCs w:val="21"/>
        </w:rPr>
        <w:t>2</w:t>
      </w:r>
      <w:r>
        <w:rPr>
          <w:rFonts w:eastAsia="楷体_GB2312" w:hint="eastAsia"/>
          <w:szCs w:val="21"/>
        </w:rPr>
        <w:t>个交易日内到乙方开户营业部办理资料变更手续</w:t>
      </w:r>
      <w:r>
        <w:rPr>
          <w:rFonts w:eastAsia="楷体_GB2312" w:cs="宋体" w:hint="eastAsia"/>
          <w:kern w:val="0"/>
          <w:szCs w:val="21"/>
        </w:rPr>
        <w:t>，否则乙方仍然以变动前的联络方式为有效联络方式，由此产生的一切后果由甲方自行承担。</w:t>
      </w:r>
    </w:p>
    <w:p w14:paraId="1E07F555" w14:textId="77777777" w:rsidR="002D3EC1" w:rsidRDefault="002D3EC1" w:rsidP="002D3EC1">
      <w:pPr>
        <w:numPr>
          <w:ilvl w:val="0"/>
          <w:numId w:val="16"/>
        </w:numPr>
        <w:spacing w:line="276" w:lineRule="auto"/>
        <w:ind w:left="0" w:firstLineChars="200" w:firstLine="420"/>
        <w:rPr>
          <w:rFonts w:eastAsia="楷体_GB2312" w:cs="宋体"/>
          <w:kern w:val="0"/>
          <w:szCs w:val="21"/>
        </w:rPr>
      </w:pPr>
      <w:r>
        <w:rPr>
          <w:rFonts w:eastAsia="楷体_GB2312" w:hint="eastAsia"/>
          <w:szCs w:val="21"/>
        </w:rPr>
        <w:t>乙方通过融资融券系统为甲方提供对账服务，客户可通过网上交易系统、热自助系统自助查询。</w:t>
      </w:r>
      <w:r>
        <w:rPr>
          <w:rFonts w:eastAsia="楷体_GB2312" w:cs="宋体" w:hint="eastAsia"/>
          <w:kern w:val="0"/>
          <w:szCs w:val="21"/>
        </w:rPr>
        <w:t>如需以其他方式获取对账单的，甲方需至乙方柜台提出书面申请，乙方接受甲方申请后的下月开始按照约定方式向甲方提供对账单。</w:t>
      </w:r>
    </w:p>
    <w:p w14:paraId="325B7A6C"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乙方向甲方提供的对账单，应载明如下事项：</w:t>
      </w:r>
    </w:p>
    <w:p w14:paraId="7A745214" w14:textId="77777777" w:rsidR="002D3EC1" w:rsidRDefault="002D3EC1" w:rsidP="002D3EC1">
      <w:pPr>
        <w:widowControl/>
        <w:numPr>
          <w:ilvl w:val="0"/>
          <w:numId w:val="28"/>
        </w:numPr>
        <w:spacing w:line="276" w:lineRule="auto"/>
        <w:ind w:left="0" w:firstLineChars="200" w:firstLine="420"/>
        <w:rPr>
          <w:rFonts w:eastAsia="楷体_GB2312" w:cs="宋体"/>
          <w:kern w:val="0"/>
          <w:szCs w:val="21"/>
        </w:rPr>
      </w:pPr>
      <w:r>
        <w:rPr>
          <w:rFonts w:eastAsia="楷体_GB2312" w:cs="宋体" w:hint="eastAsia"/>
          <w:kern w:val="0"/>
          <w:szCs w:val="21"/>
        </w:rPr>
        <w:t>甲方授信额度与剩余可用授信额度。</w:t>
      </w:r>
    </w:p>
    <w:p w14:paraId="5B7DC918" w14:textId="77777777" w:rsidR="002D3EC1" w:rsidRDefault="002D3EC1" w:rsidP="002D3EC1">
      <w:pPr>
        <w:widowControl/>
        <w:numPr>
          <w:ilvl w:val="0"/>
          <w:numId w:val="28"/>
        </w:numPr>
        <w:spacing w:line="276" w:lineRule="auto"/>
        <w:ind w:left="0" w:firstLineChars="200" w:firstLine="420"/>
        <w:rPr>
          <w:rFonts w:eastAsia="楷体_GB2312" w:cs="宋体"/>
          <w:kern w:val="0"/>
          <w:szCs w:val="21"/>
        </w:rPr>
      </w:pPr>
      <w:r>
        <w:rPr>
          <w:rFonts w:eastAsia="楷体_GB2312" w:cs="宋体" w:hint="eastAsia"/>
          <w:kern w:val="0"/>
          <w:szCs w:val="21"/>
        </w:rPr>
        <w:t>甲方信用账户资产总值、负债总额、保证金可用余额与可提取金额、担保证券市值、维持担保比例。</w:t>
      </w:r>
    </w:p>
    <w:p w14:paraId="03987311" w14:textId="77777777" w:rsidR="002D3EC1" w:rsidRDefault="002D3EC1" w:rsidP="002D3EC1">
      <w:pPr>
        <w:widowControl/>
        <w:numPr>
          <w:ilvl w:val="0"/>
          <w:numId w:val="28"/>
        </w:numPr>
        <w:spacing w:line="276" w:lineRule="auto"/>
        <w:ind w:left="0" w:firstLineChars="200" w:firstLine="420"/>
        <w:rPr>
          <w:rFonts w:eastAsia="楷体_GB2312" w:cs="宋体"/>
          <w:kern w:val="0"/>
          <w:szCs w:val="21"/>
        </w:rPr>
      </w:pPr>
      <w:r>
        <w:rPr>
          <w:rFonts w:eastAsia="楷体_GB2312" w:cs="宋体" w:hint="eastAsia"/>
          <w:kern w:val="0"/>
          <w:szCs w:val="21"/>
        </w:rPr>
        <w:t>每笔融资利息与融券费用、偿还期限，融资买入和融券卖出的成交价格、数量、金额。</w:t>
      </w:r>
    </w:p>
    <w:p w14:paraId="0A830262"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甲方有义务随时关注本人账户情况及乙方依据本合同约定发出的通知或公告。</w:t>
      </w:r>
    </w:p>
    <w:p w14:paraId="5EFF2DB6"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违约责任</w:t>
      </w:r>
    </w:p>
    <w:p w14:paraId="7E897D39"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甲乙双方必须严格、全面履行本合同相关条款，任何一方不得违约，否则，</w:t>
      </w:r>
      <w:r>
        <w:rPr>
          <w:rFonts w:eastAsia="楷体_GB2312" w:hint="eastAsia"/>
          <w:szCs w:val="21"/>
        </w:rPr>
        <w:lastRenderedPageBreak/>
        <w:t>除法律规定或本合同约定可以免责的以外，违约方应承担违约责任。</w:t>
      </w:r>
    </w:p>
    <w:p w14:paraId="7B95F94D"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甲乙任何一方违反本合同项下的声明与保证条款，对方可以要求其立即改正；在合理期限内不改正，或者严重违反声明与保证条款的，对方有权提前了结债权债务并解除本合同。</w:t>
      </w:r>
    </w:p>
    <w:p w14:paraId="4389FA14"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本合同项下一方违约责任的承担，以本合同明确约定的利益及违约造成的直接损失为限，不包括其他可得利益损失、间接损失等。</w:t>
      </w:r>
    </w:p>
    <w:p w14:paraId="1F4BBBE4"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当甲方发生高风险、违约等异常交易行为时，乙方有权对甲方的信用评级进行调整。</w:t>
      </w:r>
    </w:p>
    <w:p w14:paraId="3773DF83" w14:textId="77777777" w:rsidR="002D3EC1" w:rsidRDefault="002D3EC1" w:rsidP="002D3EC1">
      <w:pPr>
        <w:numPr>
          <w:ilvl w:val="0"/>
          <w:numId w:val="16"/>
        </w:numPr>
        <w:spacing w:line="276" w:lineRule="auto"/>
        <w:ind w:left="0" w:firstLineChars="200" w:firstLine="420"/>
        <w:rPr>
          <w:rFonts w:eastAsia="楷体_GB2312"/>
          <w:szCs w:val="21"/>
        </w:rPr>
      </w:pPr>
      <w:bookmarkStart w:id="3" w:name="_Ref271785818"/>
      <w:r>
        <w:rPr>
          <w:rFonts w:eastAsia="楷体_GB2312" w:hint="eastAsia"/>
          <w:szCs w:val="21"/>
        </w:rPr>
        <w:t>当甲方出现如下情形之一的，乙方有权限制甲方融资融券交易、提前终止甲方融资融券合同，提前终止合同不影响乙方按照合同约定的方式了结未了结的融资融券交易，以及行使债权追索等权利：</w:t>
      </w:r>
      <w:bookmarkEnd w:id="3"/>
    </w:p>
    <w:p w14:paraId="73527B94" w14:textId="77777777" w:rsidR="002D3EC1" w:rsidRDefault="002D3EC1" w:rsidP="002D3EC1">
      <w:pPr>
        <w:widowControl/>
        <w:numPr>
          <w:ilvl w:val="0"/>
          <w:numId w:val="29"/>
        </w:numPr>
        <w:spacing w:line="276" w:lineRule="auto"/>
        <w:ind w:left="0" w:firstLineChars="200" w:firstLine="420"/>
        <w:rPr>
          <w:rFonts w:eastAsia="楷体_GB2312"/>
          <w:szCs w:val="21"/>
        </w:rPr>
      </w:pPr>
      <w:r>
        <w:rPr>
          <w:rFonts w:eastAsia="楷体_GB2312" w:hint="eastAsia"/>
          <w:szCs w:val="21"/>
        </w:rPr>
        <w:t>甲方在进行融资融券交易期间，发生违法违规行为。</w:t>
      </w:r>
    </w:p>
    <w:p w14:paraId="3E5BD88C" w14:textId="77777777" w:rsidR="002D3EC1" w:rsidRDefault="002D3EC1" w:rsidP="002D3EC1">
      <w:pPr>
        <w:widowControl/>
        <w:numPr>
          <w:ilvl w:val="0"/>
          <w:numId w:val="29"/>
        </w:numPr>
        <w:spacing w:line="276" w:lineRule="auto"/>
        <w:ind w:left="0" w:firstLineChars="200" w:firstLine="420"/>
        <w:rPr>
          <w:rFonts w:eastAsia="楷体_GB2312"/>
          <w:szCs w:val="21"/>
        </w:rPr>
      </w:pPr>
      <w:r>
        <w:rPr>
          <w:rFonts w:eastAsia="楷体_GB2312" w:hint="eastAsia"/>
          <w:szCs w:val="21"/>
        </w:rPr>
        <w:t>甲方被确定为市场禁止或限制进入。</w:t>
      </w:r>
    </w:p>
    <w:p w14:paraId="648F4F65" w14:textId="77777777" w:rsidR="002D3EC1" w:rsidRDefault="002D3EC1" w:rsidP="002D3EC1">
      <w:pPr>
        <w:widowControl/>
        <w:numPr>
          <w:ilvl w:val="0"/>
          <w:numId w:val="29"/>
        </w:numPr>
        <w:spacing w:line="276" w:lineRule="auto"/>
        <w:ind w:left="0" w:firstLineChars="200" w:firstLine="420"/>
        <w:rPr>
          <w:rFonts w:eastAsia="楷体_GB2312"/>
          <w:szCs w:val="21"/>
        </w:rPr>
      </w:pPr>
      <w:r>
        <w:rPr>
          <w:rFonts w:eastAsia="楷体_GB2312" w:hint="eastAsia"/>
          <w:szCs w:val="21"/>
        </w:rPr>
        <w:t>甲方被确认为乙方的股东、关联人、董事、监事、高级管理人员。</w:t>
      </w:r>
    </w:p>
    <w:p w14:paraId="68E5BC0B" w14:textId="77777777" w:rsidR="002D3EC1" w:rsidRDefault="002D3EC1" w:rsidP="002D3EC1">
      <w:pPr>
        <w:widowControl/>
        <w:numPr>
          <w:ilvl w:val="0"/>
          <w:numId w:val="29"/>
        </w:numPr>
        <w:spacing w:line="276" w:lineRule="auto"/>
        <w:ind w:left="0" w:firstLineChars="200" w:firstLine="420"/>
        <w:rPr>
          <w:rFonts w:eastAsia="楷体_GB2312"/>
          <w:szCs w:val="21"/>
        </w:rPr>
      </w:pPr>
      <w:r>
        <w:rPr>
          <w:rFonts w:eastAsia="楷体_GB2312" w:hint="eastAsia"/>
          <w:szCs w:val="21"/>
        </w:rPr>
        <w:t>甲方未按规定提供真实材料。</w:t>
      </w:r>
    </w:p>
    <w:p w14:paraId="506BD07B" w14:textId="77777777" w:rsidR="002D3EC1" w:rsidRDefault="002D3EC1" w:rsidP="002D3EC1">
      <w:pPr>
        <w:widowControl/>
        <w:numPr>
          <w:ilvl w:val="0"/>
          <w:numId w:val="29"/>
        </w:numPr>
        <w:spacing w:line="276" w:lineRule="auto"/>
        <w:ind w:left="0" w:firstLineChars="200" w:firstLine="420"/>
        <w:rPr>
          <w:rFonts w:eastAsia="楷体_GB2312"/>
          <w:szCs w:val="21"/>
        </w:rPr>
      </w:pPr>
      <w:r>
        <w:rPr>
          <w:rFonts w:eastAsia="楷体_GB2312" w:hint="eastAsia"/>
          <w:szCs w:val="21"/>
        </w:rPr>
        <w:t>甲方出现其他违反法律法规、本合同的行为，或被认定为不适于继续进行融资融券交易等情形时。</w:t>
      </w:r>
    </w:p>
    <w:p w14:paraId="5329DA65"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免责条款</w:t>
      </w:r>
    </w:p>
    <w:p w14:paraId="07AC3B1F"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因出现火灾、地震等不可抗力；非因乙方自身原因导致的技术系统异常事故；政策法规修改；法律法规规定的其他情形等因素，导致合同任何一方不能及时或完全履行本合同，免除其相应责任。</w:t>
      </w:r>
    </w:p>
    <w:p w14:paraId="7564D359" w14:textId="77777777" w:rsidR="002D3EC1" w:rsidRDefault="002D3EC1" w:rsidP="002D3EC1">
      <w:pPr>
        <w:spacing w:line="276" w:lineRule="auto"/>
        <w:ind w:firstLineChars="200" w:firstLine="420"/>
        <w:rPr>
          <w:rFonts w:ascii="楷体_GB2312" w:eastAsia="楷体_GB2312" w:hAnsi="宋体"/>
          <w:szCs w:val="21"/>
        </w:rPr>
      </w:pPr>
      <w:r>
        <w:rPr>
          <w:rFonts w:ascii="楷体_GB2312" w:eastAsia="楷体_GB2312" w:hAnsi="宋体" w:hint="eastAsia"/>
          <w:szCs w:val="21"/>
        </w:rPr>
        <w:t>遭受上述情况的一方，应尽快通知另一方。双方应积极协调、采取适当措施，以控制或减少上述情况的不利影响。</w:t>
      </w:r>
    </w:p>
    <w:p w14:paraId="380CFB4A" w14:textId="77777777" w:rsidR="002D3EC1" w:rsidRDefault="002D3EC1" w:rsidP="002D3EC1">
      <w:pPr>
        <w:numPr>
          <w:ilvl w:val="0"/>
          <w:numId w:val="16"/>
        </w:numPr>
        <w:spacing w:line="276" w:lineRule="auto"/>
        <w:ind w:left="0" w:firstLineChars="200" w:firstLine="420"/>
        <w:rPr>
          <w:rFonts w:eastAsia="楷体_GB2312"/>
          <w:szCs w:val="21"/>
        </w:rPr>
      </w:pPr>
      <w:r>
        <w:rPr>
          <w:rFonts w:ascii="楷体_GB2312" w:eastAsia="楷体_GB2312" w:hAnsi="宋体" w:hint="eastAsia"/>
          <w:szCs w:val="21"/>
        </w:rPr>
        <w:t>甲乙双方通过签订补充合同、修改本合同等方式约定全权委托、乙方保证甲方投资收益或承担甲方投资损失、排除甲方自行承担投资风险的条款均为无效。</w:t>
      </w:r>
    </w:p>
    <w:p w14:paraId="65110665" w14:textId="77777777" w:rsidR="002D3EC1" w:rsidRDefault="002D3EC1" w:rsidP="002D3EC1">
      <w:pPr>
        <w:spacing w:line="276" w:lineRule="auto"/>
        <w:ind w:firstLineChars="200" w:firstLine="420"/>
        <w:rPr>
          <w:rFonts w:ascii="楷体_GB2312" w:eastAsia="楷体_GB2312" w:hAnsi="宋体"/>
          <w:szCs w:val="21"/>
        </w:rPr>
      </w:pPr>
      <w:r>
        <w:rPr>
          <w:rFonts w:ascii="楷体_GB2312" w:eastAsia="楷体_GB2312" w:hAnsi="宋体" w:hint="eastAsia"/>
          <w:szCs w:val="21"/>
        </w:rPr>
        <w:t>甲方与乙方任何分支机构或工作人员私下以书面或口头方式达成的有关全权委托、分享投资收益、分担投资损失的任何约定，均属于违反国家相关法律法规、乙方相关制度和业务规则以及本合同约定的情形，均为无效约定，由此产生的损失乙方不承担赔偿责任。</w:t>
      </w:r>
    </w:p>
    <w:p w14:paraId="592F3997" w14:textId="77777777" w:rsidR="002D3EC1" w:rsidRDefault="002D3EC1" w:rsidP="002D3EC1">
      <w:pPr>
        <w:numPr>
          <w:ilvl w:val="0"/>
          <w:numId w:val="16"/>
        </w:numPr>
        <w:spacing w:line="276" w:lineRule="auto"/>
        <w:ind w:left="0" w:firstLineChars="200" w:firstLine="420"/>
        <w:rPr>
          <w:rFonts w:ascii="楷体_GB2312" w:eastAsia="楷体_GB2312" w:hAnsi="宋体"/>
          <w:szCs w:val="21"/>
        </w:rPr>
      </w:pPr>
      <w:r>
        <w:rPr>
          <w:rFonts w:ascii="楷体_GB2312" w:eastAsia="楷体_GB2312" w:hAnsi="宋体" w:hint="eastAsia"/>
          <w:szCs w:val="21"/>
        </w:rPr>
        <w:t>乙方声明，乙方公布的标的证券、可充抵保证金证券的名单可能与乙方自营投资、资产管理业务的持仓证券存在重合，乙方的投资银行、证券投资咨询等其他业务也可能涉及该等证券。乙方公布、调整标的证券、可充抵保证金证券名单及其折算率，并不构成对该等证券投资价值的判断或建议，甲方应当审慎独立决策。</w:t>
      </w:r>
    </w:p>
    <w:p w14:paraId="03C13B16" w14:textId="77777777" w:rsidR="002D3EC1" w:rsidRDefault="002D3EC1" w:rsidP="002D3EC1">
      <w:pPr>
        <w:numPr>
          <w:ilvl w:val="0"/>
          <w:numId w:val="16"/>
        </w:numPr>
        <w:spacing w:line="276" w:lineRule="auto"/>
        <w:ind w:left="0" w:firstLineChars="200" w:firstLine="420"/>
        <w:rPr>
          <w:rFonts w:ascii="楷体_GB2312" w:eastAsia="楷体_GB2312" w:hAnsi="宋体"/>
          <w:szCs w:val="21"/>
        </w:rPr>
      </w:pPr>
      <w:r>
        <w:rPr>
          <w:rFonts w:ascii="楷体_GB2312" w:eastAsia="楷体_GB2312" w:hAnsi="宋体" w:hint="eastAsia"/>
          <w:szCs w:val="21"/>
        </w:rPr>
        <w:t>乙方提供的行情、信息、数据等资料均来自专业机构，甲方根据该等资料进行交易造成的经济损失，乙方不承担任何经济或法律责任。</w:t>
      </w:r>
    </w:p>
    <w:p w14:paraId="27047DAE"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合同的补充、修改、终止</w:t>
      </w:r>
    </w:p>
    <w:p w14:paraId="72564902"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合同的补充与修改</w:t>
      </w:r>
    </w:p>
    <w:p w14:paraId="733BD8E5" w14:textId="77777777" w:rsidR="002D3EC1" w:rsidRDefault="002D3EC1" w:rsidP="002D3EC1">
      <w:pPr>
        <w:numPr>
          <w:ilvl w:val="0"/>
          <w:numId w:val="30"/>
        </w:numPr>
        <w:spacing w:line="276" w:lineRule="auto"/>
        <w:ind w:left="0" w:firstLineChars="200" w:firstLine="420"/>
        <w:rPr>
          <w:rFonts w:eastAsia="楷体_GB2312"/>
          <w:szCs w:val="21"/>
        </w:rPr>
      </w:pPr>
      <w:r>
        <w:rPr>
          <w:rFonts w:eastAsia="楷体_GB2312" w:hint="eastAsia"/>
          <w:szCs w:val="21"/>
        </w:rPr>
        <w:t>本合同未尽事宜，可由甲乙双方协商解决并另行签署补充合同。协商不一致或</w:t>
      </w:r>
      <w:r>
        <w:rPr>
          <w:rFonts w:eastAsia="楷体_GB2312" w:hint="eastAsia"/>
          <w:szCs w:val="21"/>
        </w:rPr>
        <w:lastRenderedPageBreak/>
        <w:t>未签署补充合同之前，仍按本合同相关条款执行。本合同之补充合同及附件均为本合同不可分割的组成部分，具有同等的法律效力。</w:t>
      </w:r>
    </w:p>
    <w:p w14:paraId="59FCBD1B" w14:textId="77777777" w:rsidR="002D3EC1" w:rsidRDefault="002D3EC1" w:rsidP="002D3EC1">
      <w:pPr>
        <w:numPr>
          <w:ilvl w:val="0"/>
          <w:numId w:val="30"/>
        </w:numPr>
        <w:spacing w:line="276" w:lineRule="auto"/>
        <w:ind w:left="0" w:firstLineChars="200" w:firstLine="420"/>
        <w:rPr>
          <w:rFonts w:eastAsia="楷体_GB2312"/>
          <w:szCs w:val="21"/>
        </w:rPr>
      </w:pPr>
      <w:r>
        <w:rPr>
          <w:rFonts w:eastAsia="楷体_GB2312" w:hint="eastAsia"/>
          <w:szCs w:val="21"/>
        </w:rPr>
        <w:t>甲乙双方不得通过签订补充合同、修改合同等方式约定保证投资收益、承担投资损失，或排除甲方自行承担风险。含有约定保证投资收益、承担投资损失、排除甲方自行承担风险等内容的合同条款均为无效。</w:t>
      </w:r>
    </w:p>
    <w:p w14:paraId="4FEF8EA6" w14:textId="65C851ED" w:rsidR="002D3EC1" w:rsidRPr="00534C8D" w:rsidRDefault="00044527" w:rsidP="00044527">
      <w:pPr>
        <w:spacing w:line="276" w:lineRule="auto"/>
        <w:ind w:firstLineChars="200" w:firstLine="420"/>
        <w:rPr>
          <w:rFonts w:eastAsia="楷体_GB2312"/>
          <w:szCs w:val="21"/>
          <w:highlight w:val="red"/>
        </w:rPr>
      </w:pPr>
      <w:r w:rsidRPr="00044527">
        <w:rPr>
          <w:rFonts w:eastAsia="楷体_GB2312" w:hint="eastAsia"/>
          <w:szCs w:val="21"/>
        </w:rPr>
        <w:t>（三</w:t>
      </w:r>
      <w:r>
        <w:rPr>
          <w:rFonts w:eastAsia="楷体_GB2312" w:hint="eastAsia"/>
          <w:szCs w:val="21"/>
        </w:rPr>
        <w:t>）</w:t>
      </w:r>
      <w:r>
        <w:rPr>
          <w:rFonts w:eastAsia="楷体_GB2312" w:hint="eastAsia"/>
          <w:szCs w:val="21"/>
        </w:rPr>
        <w:t xml:space="preserve"> </w:t>
      </w:r>
      <w:r w:rsidRPr="00044527">
        <w:rPr>
          <w:rFonts w:eastAsia="楷体_GB2312" w:hint="eastAsia"/>
          <w:szCs w:val="21"/>
        </w:rPr>
        <w:t>根据法律、行政法规或其他规范性文件、证券交易所和证券登记结算机构业务规则以及乙方业务规则的规定，如需修改或增补合同内容时，修改或增补的内容由乙方在乙方网站及营业场所内以公告形式通知甲方，</w:t>
      </w:r>
      <w:r w:rsidRPr="00664C95">
        <w:rPr>
          <w:rFonts w:eastAsia="楷体_GB2312" w:hint="eastAsia"/>
          <w:color w:val="000000"/>
          <w:szCs w:val="21"/>
        </w:rPr>
        <w:t>乙方公告后立即生效</w:t>
      </w:r>
      <w:r w:rsidRPr="00044527">
        <w:rPr>
          <w:rFonts w:eastAsia="楷体_GB2312" w:hint="eastAsia"/>
          <w:szCs w:val="21"/>
        </w:rPr>
        <w:t>。</w:t>
      </w:r>
    </w:p>
    <w:p w14:paraId="344047FA" w14:textId="77777777" w:rsidR="002D3EC1" w:rsidRDefault="002D3EC1" w:rsidP="00044527">
      <w:pPr>
        <w:numPr>
          <w:ilvl w:val="0"/>
          <w:numId w:val="16"/>
        </w:numPr>
        <w:spacing w:line="276" w:lineRule="auto"/>
        <w:ind w:left="0" w:firstLineChars="200" w:firstLine="420"/>
        <w:rPr>
          <w:rFonts w:eastAsia="楷体_GB2312"/>
          <w:szCs w:val="21"/>
        </w:rPr>
      </w:pPr>
      <w:bookmarkStart w:id="4" w:name="_Ref273552989"/>
      <w:r>
        <w:rPr>
          <w:rFonts w:eastAsia="楷体_GB2312" w:hint="eastAsia"/>
          <w:szCs w:val="21"/>
        </w:rPr>
        <w:t>合同的终止</w:t>
      </w:r>
      <w:bookmarkEnd w:id="4"/>
    </w:p>
    <w:p w14:paraId="21161B36" w14:textId="77777777" w:rsidR="002D3EC1" w:rsidRDefault="002D3EC1" w:rsidP="002D3EC1">
      <w:pPr>
        <w:numPr>
          <w:ilvl w:val="0"/>
          <w:numId w:val="31"/>
        </w:numPr>
        <w:spacing w:line="276" w:lineRule="auto"/>
        <w:ind w:left="0" w:firstLineChars="200" w:firstLine="420"/>
        <w:rPr>
          <w:rFonts w:eastAsia="楷体_GB2312"/>
          <w:szCs w:val="21"/>
        </w:rPr>
      </w:pPr>
      <w:r>
        <w:rPr>
          <w:rFonts w:eastAsia="楷体_GB2312" w:hint="eastAsia"/>
          <w:szCs w:val="21"/>
        </w:rPr>
        <w:t>发生以下情形，本合同终止：</w:t>
      </w:r>
    </w:p>
    <w:p w14:paraId="681EB4D7" w14:textId="77777777" w:rsidR="002D3EC1" w:rsidRDefault="002D3EC1" w:rsidP="002D3EC1">
      <w:pPr>
        <w:numPr>
          <w:ilvl w:val="0"/>
          <w:numId w:val="32"/>
        </w:numPr>
        <w:spacing w:line="276" w:lineRule="auto"/>
        <w:ind w:left="0" w:firstLineChars="200" w:firstLine="420"/>
        <w:rPr>
          <w:rFonts w:eastAsia="楷体_GB2312"/>
          <w:szCs w:val="21"/>
        </w:rPr>
      </w:pPr>
      <w:r>
        <w:rPr>
          <w:rFonts w:eastAsia="楷体_GB2312" w:hint="eastAsia"/>
          <w:szCs w:val="21"/>
        </w:rPr>
        <w:t>甲方死亡或丧失民事行为能力。</w:t>
      </w:r>
      <w:bookmarkStart w:id="5" w:name="_GoBack"/>
      <w:bookmarkEnd w:id="5"/>
    </w:p>
    <w:p w14:paraId="7D0C8E38" w14:textId="77777777" w:rsidR="002D3EC1" w:rsidRDefault="002D3EC1" w:rsidP="002D3EC1">
      <w:pPr>
        <w:numPr>
          <w:ilvl w:val="0"/>
          <w:numId w:val="32"/>
        </w:numPr>
        <w:spacing w:line="276" w:lineRule="auto"/>
        <w:ind w:left="0" w:firstLineChars="200" w:firstLine="420"/>
        <w:rPr>
          <w:rFonts w:eastAsia="楷体_GB2312"/>
          <w:szCs w:val="21"/>
        </w:rPr>
      </w:pPr>
      <w:r>
        <w:rPr>
          <w:rFonts w:eastAsia="楷体_GB2312" w:hint="eastAsia"/>
          <w:szCs w:val="21"/>
        </w:rPr>
        <w:t>甲方被人民法院宣告进入破产程序或解散。</w:t>
      </w:r>
    </w:p>
    <w:p w14:paraId="65B8ECAF" w14:textId="77777777" w:rsidR="002D3EC1" w:rsidRDefault="002D3EC1" w:rsidP="002D3EC1">
      <w:pPr>
        <w:numPr>
          <w:ilvl w:val="0"/>
          <w:numId w:val="32"/>
        </w:numPr>
        <w:spacing w:line="276" w:lineRule="auto"/>
        <w:ind w:left="0" w:firstLineChars="200" w:firstLine="420"/>
        <w:rPr>
          <w:rFonts w:eastAsia="楷体_GB2312"/>
          <w:szCs w:val="21"/>
        </w:rPr>
      </w:pPr>
      <w:r>
        <w:rPr>
          <w:rFonts w:eastAsia="楷体_GB2312" w:hint="eastAsia"/>
          <w:szCs w:val="21"/>
        </w:rPr>
        <w:t>乙方被证券监管机关取消融资融券业务资格、停业整顿、责令关闭、撤销。</w:t>
      </w:r>
    </w:p>
    <w:p w14:paraId="025CD69C" w14:textId="77777777" w:rsidR="002D3EC1" w:rsidRDefault="002D3EC1" w:rsidP="002D3EC1">
      <w:pPr>
        <w:numPr>
          <w:ilvl w:val="0"/>
          <w:numId w:val="32"/>
        </w:numPr>
        <w:spacing w:line="276" w:lineRule="auto"/>
        <w:ind w:left="0" w:firstLineChars="200" w:firstLine="420"/>
        <w:rPr>
          <w:rFonts w:eastAsia="楷体_GB2312"/>
          <w:szCs w:val="21"/>
        </w:rPr>
      </w:pPr>
      <w:r>
        <w:rPr>
          <w:rFonts w:eastAsia="楷体_GB2312" w:hint="eastAsia"/>
          <w:szCs w:val="21"/>
        </w:rPr>
        <w:t>乙方被人民法院宣告进入破产程序或解散。</w:t>
      </w:r>
    </w:p>
    <w:p w14:paraId="3EA1DAC4" w14:textId="77777777" w:rsidR="002D3EC1" w:rsidRDefault="002D3EC1" w:rsidP="002D3EC1">
      <w:pPr>
        <w:numPr>
          <w:ilvl w:val="0"/>
          <w:numId w:val="32"/>
        </w:numPr>
        <w:spacing w:line="276" w:lineRule="auto"/>
        <w:ind w:left="0" w:firstLineChars="200" w:firstLine="420"/>
        <w:rPr>
          <w:rFonts w:eastAsia="楷体_GB2312"/>
          <w:szCs w:val="21"/>
        </w:rPr>
      </w:pPr>
      <w:r>
        <w:rPr>
          <w:rFonts w:eastAsia="楷体_GB2312" w:hint="eastAsia"/>
          <w:szCs w:val="21"/>
        </w:rPr>
        <w:t>其他法定或者约定的合同终止情形。</w:t>
      </w:r>
    </w:p>
    <w:p w14:paraId="62525E9B" w14:textId="77777777" w:rsidR="002D3EC1" w:rsidRDefault="002D3EC1" w:rsidP="002D3EC1">
      <w:pPr>
        <w:numPr>
          <w:ilvl w:val="0"/>
          <w:numId w:val="31"/>
        </w:numPr>
        <w:spacing w:line="276" w:lineRule="auto"/>
        <w:ind w:left="0" w:firstLineChars="200" w:firstLine="420"/>
        <w:rPr>
          <w:rFonts w:eastAsia="楷体_GB2312"/>
          <w:szCs w:val="21"/>
        </w:rPr>
      </w:pPr>
      <w:r>
        <w:rPr>
          <w:rFonts w:eastAsia="楷体_GB2312" w:hint="eastAsia"/>
          <w:szCs w:val="21"/>
        </w:rPr>
        <w:t>出现以上情形时有尚未了结的融资融券交易，乙方将了结甲方的融资融券交易，收回因融资融券所生对甲方的债权。</w:t>
      </w:r>
    </w:p>
    <w:p w14:paraId="0D044324"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法律适用与争议的解决</w:t>
      </w:r>
    </w:p>
    <w:p w14:paraId="779085F4"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法律适用</w:t>
      </w:r>
    </w:p>
    <w:p w14:paraId="7E6FE596" w14:textId="77777777" w:rsidR="002D3EC1" w:rsidRDefault="002D3EC1" w:rsidP="002D3EC1">
      <w:pPr>
        <w:numPr>
          <w:ilvl w:val="0"/>
          <w:numId w:val="33"/>
        </w:numPr>
        <w:spacing w:line="276" w:lineRule="auto"/>
        <w:ind w:left="0" w:firstLineChars="200" w:firstLine="420"/>
        <w:rPr>
          <w:rFonts w:eastAsia="楷体_GB2312"/>
          <w:szCs w:val="21"/>
        </w:rPr>
      </w:pPr>
      <w:r>
        <w:rPr>
          <w:rFonts w:eastAsia="楷体_GB2312" w:hint="eastAsia"/>
          <w:szCs w:val="21"/>
        </w:rPr>
        <w:t>有关本合同的签署、效力和争议解决等均适用中华人民共和国（不含港、澳、台地区）法律、法规的规定。</w:t>
      </w:r>
    </w:p>
    <w:p w14:paraId="25C7A6C0" w14:textId="77777777" w:rsidR="002D3EC1" w:rsidRDefault="002D3EC1" w:rsidP="002D3EC1">
      <w:pPr>
        <w:numPr>
          <w:ilvl w:val="0"/>
          <w:numId w:val="33"/>
        </w:numPr>
        <w:spacing w:line="276" w:lineRule="auto"/>
        <w:ind w:left="0" w:firstLineChars="200" w:firstLine="420"/>
        <w:rPr>
          <w:rFonts w:eastAsia="楷体_GB2312"/>
          <w:szCs w:val="21"/>
        </w:rPr>
      </w:pPr>
      <w:r>
        <w:rPr>
          <w:rFonts w:eastAsia="楷体_GB2312" w:hint="eastAsia"/>
          <w:szCs w:val="21"/>
        </w:rPr>
        <w:t>本合同签署后，若相关法律、法规被修订的，应按新修订的法律、法规、规章、规则办理，本合同其他内容及条款继续有效。</w:t>
      </w:r>
    </w:p>
    <w:p w14:paraId="7754E5F1"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争议处理</w:t>
      </w:r>
    </w:p>
    <w:p w14:paraId="0F0658B9" w14:textId="77777777" w:rsidR="002D3EC1" w:rsidRDefault="002D3EC1" w:rsidP="002D3EC1">
      <w:pPr>
        <w:spacing w:line="276" w:lineRule="auto"/>
        <w:ind w:firstLineChars="200" w:firstLine="420"/>
        <w:rPr>
          <w:rFonts w:eastAsia="楷体_GB2312"/>
          <w:szCs w:val="21"/>
        </w:rPr>
      </w:pPr>
      <w:r>
        <w:rPr>
          <w:rFonts w:eastAsia="楷体_GB2312" w:hint="eastAsia"/>
          <w:szCs w:val="21"/>
        </w:rPr>
        <w:t>本合同在履行过程中如发生纠纷，应通过友好协商解决，协商不一致的可向乙方住所地人民法院提起诉讼。</w:t>
      </w:r>
    </w:p>
    <w:p w14:paraId="01866297"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乙方有权对融资融券交易过程中甲乙双方的有关沟通内容以必要的形式进行记录，并以该等记录作为双方履约情况的证据直接使用。</w:t>
      </w:r>
    </w:p>
    <w:p w14:paraId="1B80E2DF"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本合同终止后，本章的约定仍然有效。</w:t>
      </w:r>
    </w:p>
    <w:p w14:paraId="3A8C3857" w14:textId="77777777" w:rsidR="00A77DD0" w:rsidRDefault="00A77DD0" w:rsidP="00A77DD0">
      <w:pPr>
        <w:spacing w:line="276" w:lineRule="auto"/>
        <w:ind w:left="420"/>
        <w:rPr>
          <w:rFonts w:eastAsia="楷体_GB2312"/>
          <w:szCs w:val="21"/>
        </w:rPr>
      </w:pPr>
    </w:p>
    <w:p w14:paraId="305A30D8" w14:textId="77777777" w:rsidR="002D3EC1" w:rsidRDefault="002D3EC1" w:rsidP="002D3EC1">
      <w:pPr>
        <w:numPr>
          <w:ilvl w:val="0"/>
          <w:numId w:val="1"/>
        </w:numPr>
        <w:spacing w:line="276" w:lineRule="auto"/>
        <w:ind w:left="0" w:firstLine="0"/>
        <w:jc w:val="center"/>
        <w:outlineLvl w:val="2"/>
        <w:rPr>
          <w:rFonts w:eastAsia="楷体_GB2312"/>
          <w:b/>
          <w:sz w:val="25"/>
          <w:szCs w:val="21"/>
        </w:rPr>
      </w:pPr>
      <w:r>
        <w:rPr>
          <w:rFonts w:eastAsia="楷体_GB2312" w:hint="eastAsia"/>
          <w:b/>
          <w:sz w:val="25"/>
          <w:szCs w:val="21"/>
        </w:rPr>
        <w:t>附则</w:t>
      </w:r>
    </w:p>
    <w:p w14:paraId="0F10985A"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甲乙双方于本合同生效前所作的宣传、广告、说明、承诺、证明、意向或其它交易条件，无论是否已经合同各方口头或书面确认</w:t>
      </w:r>
      <w:r>
        <w:rPr>
          <w:rFonts w:eastAsia="楷体_GB2312"/>
          <w:szCs w:val="21"/>
        </w:rPr>
        <w:t xml:space="preserve">, </w:t>
      </w:r>
      <w:r>
        <w:rPr>
          <w:rFonts w:eastAsia="楷体_GB2312" w:hint="eastAsia"/>
          <w:szCs w:val="21"/>
        </w:rPr>
        <w:t>均以本合同相关条款为准。</w:t>
      </w:r>
    </w:p>
    <w:p w14:paraId="0AB16BEC"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甲乙双方与融资融券交易有关的申请材料、业务办理凭证或单据、数据电文等、乙方的相关业务规则及其不时修订版本（甲方自行通过乙方公司网站下载）以及《首创证券有限责任公司融资融券交易风险揭示书》共同构成本合同附件，是本合同的有效组成部分，与本合同具有同等法律效力。</w:t>
      </w:r>
    </w:p>
    <w:p w14:paraId="5385EB30"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lastRenderedPageBreak/>
        <w:t>单笔融资融券交易的法律文件均由本合同、《首创证券有限责任公司融资融券交易风险揭示书》、有关申请材料、业务办理凭证或单据、数据电文等组成，甲乙双方须同时受其约束。</w:t>
      </w:r>
    </w:p>
    <w:p w14:paraId="539C81F4" w14:textId="77777777" w:rsidR="002D3EC1" w:rsidRDefault="002D3EC1" w:rsidP="002D3EC1">
      <w:pPr>
        <w:numPr>
          <w:ilvl w:val="0"/>
          <w:numId w:val="16"/>
        </w:numPr>
        <w:spacing w:line="276" w:lineRule="auto"/>
        <w:ind w:left="0" w:firstLineChars="200" w:firstLine="420"/>
        <w:rPr>
          <w:rFonts w:eastAsia="楷体_GB2312"/>
          <w:szCs w:val="21"/>
        </w:rPr>
      </w:pPr>
      <w:r>
        <w:rPr>
          <w:rFonts w:ascii="楷体_GB2312" w:eastAsia="楷体_GB2312" w:hAnsi="宋体" w:hint="eastAsia"/>
          <w:szCs w:val="21"/>
        </w:rPr>
        <w:t>本合同及其附件构成甲乙双方就本合同所涉事项达成的全部协议。本合同及其附件未约定的与证券委托交易相关的事项，适用甲乙双方签订的《证券交易委托代理协议》。</w:t>
      </w:r>
    </w:p>
    <w:p w14:paraId="36324E99" w14:textId="77777777" w:rsidR="002D3EC1" w:rsidRDefault="002D3EC1" w:rsidP="002D3EC1">
      <w:pPr>
        <w:numPr>
          <w:ilvl w:val="0"/>
          <w:numId w:val="16"/>
        </w:numPr>
        <w:spacing w:line="276" w:lineRule="auto"/>
        <w:ind w:left="0" w:firstLineChars="200" w:firstLine="420"/>
        <w:rPr>
          <w:rFonts w:eastAsia="楷体_GB2312"/>
          <w:szCs w:val="21"/>
        </w:rPr>
      </w:pPr>
      <w:r>
        <w:rPr>
          <w:rFonts w:ascii="楷体_GB2312" w:eastAsia="楷体_GB2312" w:hAnsi="宋体" w:hint="eastAsia"/>
          <w:szCs w:val="21"/>
        </w:rPr>
        <w:t>甲乙双方及存管银行签署的客户交易结算资金第三方存管协议的内容与本合同及其附件不一致的，以本合同及其附件的内容为准。</w:t>
      </w:r>
    </w:p>
    <w:p w14:paraId="42FE1F12" w14:textId="77777777" w:rsidR="002D3EC1" w:rsidRDefault="002D3EC1" w:rsidP="002D3EC1">
      <w:pPr>
        <w:numPr>
          <w:ilvl w:val="0"/>
          <w:numId w:val="16"/>
        </w:numPr>
        <w:spacing w:line="276" w:lineRule="auto"/>
        <w:ind w:left="0" w:firstLineChars="200" w:firstLine="420"/>
        <w:rPr>
          <w:rFonts w:eastAsia="楷体_GB2312"/>
          <w:szCs w:val="21"/>
        </w:rPr>
      </w:pPr>
      <w:r>
        <w:rPr>
          <w:rFonts w:ascii="楷体_GB2312" w:eastAsia="楷体_GB2312" w:hAnsi="宋体" w:hint="eastAsia"/>
          <w:szCs w:val="21"/>
        </w:rPr>
        <w:t>甲乙双方对于在本合同签署、履行过程中知悉的对方相关信息（已公开的除外）负有保密义务，直至该等信息成为公开信息为止。本合同终止后，本条约定仍然有效。</w:t>
      </w:r>
    </w:p>
    <w:p w14:paraId="29FAC710"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乙方确认已向甲方说明融资融券交易的风险，不保证甲方获得投资收益或承担甲方投资损失；甲方确认，已充分理解本合同内容，自行承担风险和损失。</w:t>
      </w:r>
    </w:p>
    <w:p w14:paraId="14B37C45"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本合同一式三份，甲方执一份、乙方执两份。当甲方为自然人时，合同应由甲方本人签署；当甲方为机构投资者时，应由甲方法定代表人或其授权代理人签署，并加盖甲方公章。乙方由法定代表人或授权代理人签署，并盖章。</w:t>
      </w:r>
    </w:p>
    <w:p w14:paraId="44B3132C" w14:textId="77777777" w:rsidR="002D3EC1" w:rsidRDefault="002D3EC1" w:rsidP="002D3EC1">
      <w:pPr>
        <w:numPr>
          <w:ilvl w:val="0"/>
          <w:numId w:val="16"/>
        </w:numPr>
        <w:spacing w:line="276" w:lineRule="auto"/>
        <w:ind w:left="0" w:firstLineChars="200" w:firstLine="420"/>
        <w:rPr>
          <w:rFonts w:eastAsia="楷体_GB2312"/>
          <w:szCs w:val="21"/>
        </w:rPr>
      </w:pPr>
      <w:r>
        <w:rPr>
          <w:rFonts w:eastAsia="楷体_GB2312" w:hint="eastAsia"/>
          <w:szCs w:val="21"/>
        </w:rPr>
        <w:t>本合同自甲乙双方按照本合同第八十九条的规定签署并盖章之日起生效，有效期为壹年。本合同到期日的壹个月前，双方均可书面通知对方到期终止本合同或者重新签订本合同；双方均未发出通知的，本合同有效期自动顺延壹年；以此类推。</w:t>
      </w:r>
    </w:p>
    <w:p w14:paraId="24F349FD" w14:textId="77777777" w:rsidR="002D3EC1" w:rsidRDefault="002D3EC1" w:rsidP="002D3EC1">
      <w:pPr>
        <w:spacing w:line="276" w:lineRule="auto"/>
        <w:ind w:firstLineChars="200" w:firstLine="420"/>
        <w:rPr>
          <w:rFonts w:eastAsia="楷体_GB2312"/>
          <w:szCs w:val="21"/>
        </w:rPr>
      </w:pPr>
      <w:r>
        <w:rPr>
          <w:rFonts w:eastAsia="楷体_GB2312" w:hint="eastAsia"/>
          <w:szCs w:val="21"/>
        </w:rPr>
        <w:t>（转下页签署页）</w:t>
      </w:r>
    </w:p>
    <w:p w14:paraId="246A41EF" w14:textId="77777777" w:rsidR="002D3EC1" w:rsidRDefault="002D3EC1" w:rsidP="002D3EC1">
      <w:pPr>
        <w:spacing w:line="276" w:lineRule="auto"/>
        <w:jc w:val="center"/>
        <w:rPr>
          <w:rFonts w:eastAsia="楷体_GB2312"/>
          <w:sz w:val="28"/>
          <w:szCs w:val="28"/>
        </w:rPr>
      </w:pPr>
      <w:r>
        <w:rPr>
          <w:rFonts w:eastAsia="楷体_GB2312"/>
          <w:szCs w:val="21"/>
        </w:rPr>
        <w:br w:type="page"/>
      </w:r>
      <w:r>
        <w:rPr>
          <w:rFonts w:eastAsia="楷体_GB2312" w:hint="eastAsia"/>
          <w:sz w:val="28"/>
          <w:szCs w:val="28"/>
        </w:rPr>
        <w:lastRenderedPageBreak/>
        <w:t>合同签署页</w:t>
      </w:r>
    </w:p>
    <w:p w14:paraId="1B702B31" w14:textId="77777777" w:rsidR="002D3EC1" w:rsidRDefault="002D3EC1" w:rsidP="002D3EC1">
      <w:pPr>
        <w:numPr>
          <w:ilvl w:val="1"/>
          <w:numId w:val="34"/>
        </w:numPr>
        <w:spacing w:line="276" w:lineRule="auto"/>
        <w:ind w:left="0" w:firstLineChars="200" w:firstLine="520"/>
        <w:jc w:val="left"/>
        <w:rPr>
          <w:rFonts w:eastAsia="楷体_GB2312"/>
          <w:sz w:val="26"/>
          <w:szCs w:val="28"/>
        </w:rPr>
      </w:pPr>
      <w:r>
        <w:rPr>
          <w:rFonts w:eastAsia="楷体_GB2312" w:hint="eastAsia"/>
          <w:sz w:val="26"/>
          <w:szCs w:val="28"/>
        </w:rPr>
        <w:t>投资者（甲方填写）</w:t>
      </w:r>
    </w:p>
    <w:p w14:paraId="3935C793" w14:textId="77777777" w:rsidR="002D3EC1" w:rsidRDefault="002D3EC1" w:rsidP="002D3EC1">
      <w:pPr>
        <w:spacing w:line="276" w:lineRule="auto"/>
        <w:jc w:val="left"/>
        <w:rPr>
          <w:rFonts w:eastAsia="楷体_GB2312"/>
          <w:sz w:val="26"/>
          <w:szCs w:val="28"/>
        </w:rPr>
      </w:pPr>
      <w:r>
        <w:rPr>
          <w:rFonts w:eastAsia="楷体_GB2312" w:hint="eastAsia"/>
          <w:sz w:val="26"/>
          <w:szCs w:val="28"/>
        </w:rPr>
        <w:t>个人投资者</w:t>
      </w:r>
    </w:p>
    <w:p w14:paraId="5F3624E6" w14:textId="77777777" w:rsidR="002D3EC1" w:rsidRDefault="002D3EC1" w:rsidP="002D3EC1">
      <w:pPr>
        <w:spacing w:line="276" w:lineRule="auto"/>
        <w:rPr>
          <w:rFonts w:eastAsia="楷体_GB2312"/>
          <w:sz w:val="26"/>
          <w:szCs w:val="28"/>
          <w:u w:val="single"/>
        </w:rPr>
      </w:pPr>
      <w:r>
        <w:rPr>
          <w:rFonts w:eastAsia="楷体_GB2312" w:hint="eastAsia"/>
          <w:sz w:val="26"/>
          <w:szCs w:val="28"/>
        </w:rPr>
        <w:t>姓名：</w:t>
      </w:r>
      <w:r>
        <w:rPr>
          <w:rFonts w:eastAsia="楷体_GB2312" w:hint="eastAsia"/>
          <w:sz w:val="26"/>
          <w:szCs w:val="28"/>
          <w:u w:val="single"/>
        </w:rPr>
        <w:t xml:space="preserve">　　　　　　　　　　　　　　　　　　　　　　　　　　</w:t>
      </w:r>
    </w:p>
    <w:p w14:paraId="3B3264DF" w14:textId="77777777" w:rsidR="002D3EC1" w:rsidRDefault="002D3EC1" w:rsidP="002D3EC1">
      <w:pPr>
        <w:spacing w:line="276" w:lineRule="auto"/>
        <w:rPr>
          <w:rFonts w:eastAsia="楷体_GB2312"/>
          <w:sz w:val="26"/>
          <w:szCs w:val="28"/>
          <w:u w:val="single"/>
        </w:rPr>
      </w:pPr>
      <w:r>
        <w:rPr>
          <w:rFonts w:eastAsia="楷体_GB2312" w:hint="eastAsia"/>
          <w:sz w:val="26"/>
          <w:szCs w:val="28"/>
        </w:rPr>
        <w:t>证件类型：</w:t>
      </w:r>
      <w:r>
        <w:rPr>
          <w:rFonts w:eastAsia="楷体_GB2312" w:hint="eastAsia"/>
          <w:sz w:val="26"/>
          <w:szCs w:val="28"/>
          <w:u w:val="single"/>
        </w:rPr>
        <w:t xml:space="preserve">　　　　　　　　　　　　　　　　　　　　　　　　</w:t>
      </w:r>
    </w:p>
    <w:p w14:paraId="17548645" w14:textId="77777777" w:rsidR="002D3EC1" w:rsidRDefault="002D3EC1" w:rsidP="002D3EC1">
      <w:pPr>
        <w:spacing w:line="276" w:lineRule="auto"/>
        <w:rPr>
          <w:rFonts w:eastAsia="楷体_GB2312"/>
          <w:sz w:val="26"/>
          <w:szCs w:val="28"/>
        </w:rPr>
      </w:pPr>
      <w:r>
        <w:rPr>
          <w:rFonts w:eastAsia="楷体_GB2312" w:hint="eastAsia"/>
          <w:sz w:val="26"/>
          <w:szCs w:val="28"/>
        </w:rPr>
        <w:t>证件号码：</w:t>
      </w:r>
      <w:r>
        <w:rPr>
          <w:rFonts w:eastAsia="楷体_GB2312" w:hint="eastAsia"/>
          <w:sz w:val="26"/>
          <w:szCs w:val="28"/>
          <w:u w:val="single"/>
        </w:rPr>
        <w:t xml:space="preserve">　　　　　　　　　　　　　　　　　　　　　　　　</w:t>
      </w:r>
    </w:p>
    <w:p w14:paraId="20AFD4F1" w14:textId="77777777" w:rsidR="002D3EC1" w:rsidRDefault="002D3EC1" w:rsidP="002D3EC1">
      <w:pPr>
        <w:spacing w:line="276" w:lineRule="auto"/>
        <w:rPr>
          <w:rFonts w:eastAsia="楷体_GB2312"/>
          <w:sz w:val="26"/>
          <w:szCs w:val="28"/>
          <w:u w:val="single"/>
        </w:rPr>
      </w:pPr>
      <w:r>
        <w:rPr>
          <w:rFonts w:eastAsia="楷体_GB2312" w:hint="eastAsia"/>
          <w:sz w:val="26"/>
          <w:szCs w:val="28"/>
        </w:rPr>
        <w:t>联系地址：</w:t>
      </w:r>
      <w:r>
        <w:rPr>
          <w:rFonts w:eastAsia="楷体_GB2312" w:hint="eastAsia"/>
          <w:sz w:val="26"/>
          <w:szCs w:val="28"/>
          <w:u w:val="single"/>
        </w:rPr>
        <w:t xml:space="preserve">　　　　　　　　　　　　　　　　　　　　　　　　</w:t>
      </w:r>
    </w:p>
    <w:p w14:paraId="1488ED28" w14:textId="77777777" w:rsidR="002D3EC1" w:rsidRDefault="002D3EC1" w:rsidP="002D3EC1">
      <w:pPr>
        <w:spacing w:line="276" w:lineRule="auto"/>
        <w:rPr>
          <w:rFonts w:eastAsia="楷体_GB2312"/>
          <w:sz w:val="26"/>
          <w:szCs w:val="28"/>
          <w:u w:val="single"/>
        </w:rPr>
      </w:pPr>
      <w:r>
        <w:rPr>
          <w:rFonts w:eastAsia="楷体_GB2312" w:hint="eastAsia"/>
          <w:sz w:val="26"/>
          <w:szCs w:val="28"/>
        </w:rPr>
        <w:t>邮政编码：</w:t>
      </w:r>
      <w:r>
        <w:rPr>
          <w:rFonts w:eastAsia="楷体_GB2312" w:hint="eastAsia"/>
          <w:sz w:val="26"/>
          <w:szCs w:val="28"/>
          <w:u w:val="single"/>
        </w:rPr>
        <w:t xml:space="preserve">　　　　　　　　　　　</w:t>
      </w:r>
      <w:r>
        <w:rPr>
          <w:rFonts w:eastAsia="楷体_GB2312" w:hint="eastAsia"/>
          <w:sz w:val="26"/>
          <w:szCs w:val="28"/>
        </w:rPr>
        <w:t>电子邮件：</w:t>
      </w:r>
      <w:r>
        <w:rPr>
          <w:rFonts w:eastAsia="楷体_GB2312" w:hint="eastAsia"/>
          <w:sz w:val="26"/>
          <w:szCs w:val="28"/>
          <w:u w:val="single"/>
        </w:rPr>
        <w:t xml:space="preserve">　　　　　　　　</w:t>
      </w:r>
    </w:p>
    <w:p w14:paraId="63FED592" w14:textId="77777777" w:rsidR="002D3EC1" w:rsidRDefault="002D3EC1" w:rsidP="002D3EC1">
      <w:pPr>
        <w:spacing w:line="276" w:lineRule="auto"/>
        <w:rPr>
          <w:rFonts w:eastAsia="楷体_GB2312"/>
          <w:sz w:val="26"/>
          <w:szCs w:val="28"/>
        </w:rPr>
      </w:pPr>
      <w:r>
        <w:rPr>
          <w:rFonts w:eastAsia="楷体_GB2312" w:hint="eastAsia"/>
          <w:sz w:val="26"/>
          <w:szCs w:val="28"/>
        </w:rPr>
        <w:t>固定电话：</w:t>
      </w:r>
      <w:r>
        <w:rPr>
          <w:rFonts w:eastAsia="楷体_GB2312" w:hint="eastAsia"/>
          <w:sz w:val="26"/>
          <w:szCs w:val="28"/>
          <w:u w:val="single"/>
        </w:rPr>
        <w:t xml:space="preserve">　　　　　　　　　　　</w:t>
      </w:r>
      <w:r>
        <w:rPr>
          <w:rFonts w:eastAsia="楷体_GB2312" w:hint="eastAsia"/>
          <w:sz w:val="26"/>
          <w:szCs w:val="28"/>
        </w:rPr>
        <w:t>移动电话：</w:t>
      </w:r>
      <w:r>
        <w:rPr>
          <w:rFonts w:eastAsia="楷体_GB2312" w:hint="eastAsia"/>
          <w:sz w:val="26"/>
          <w:szCs w:val="28"/>
          <w:u w:val="single"/>
        </w:rPr>
        <w:t xml:space="preserve">　　　　　　　　</w:t>
      </w:r>
    </w:p>
    <w:p w14:paraId="42542B2A" w14:textId="77777777" w:rsidR="002D3EC1" w:rsidRDefault="002D3EC1" w:rsidP="002D3EC1">
      <w:pPr>
        <w:spacing w:line="276" w:lineRule="auto"/>
        <w:jc w:val="left"/>
        <w:rPr>
          <w:rFonts w:eastAsia="楷体_GB2312"/>
          <w:sz w:val="26"/>
          <w:szCs w:val="28"/>
        </w:rPr>
      </w:pPr>
      <w:r>
        <w:rPr>
          <w:rFonts w:eastAsia="楷体_GB2312" w:hint="eastAsia"/>
          <w:sz w:val="26"/>
          <w:szCs w:val="28"/>
        </w:rPr>
        <w:t>机构投资者</w:t>
      </w:r>
    </w:p>
    <w:p w14:paraId="3208BE07" w14:textId="77777777" w:rsidR="002D3EC1" w:rsidRDefault="002D3EC1" w:rsidP="002D3EC1">
      <w:pPr>
        <w:spacing w:line="276" w:lineRule="auto"/>
        <w:rPr>
          <w:rFonts w:eastAsia="楷体_GB2312"/>
          <w:sz w:val="26"/>
          <w:szCs w:val="28"/>
          <w:u w:val="single"/>
        </w:rPr>
      </w:pPr>
      <w:r>
        <w:rPr>
          <w:rFonts w:eastAsia="楷体_GB2312" w:hint="eastAsia"/>
          <w:sz w:val="26"/>
          <w:szCs w:val="28"/>
        </w:rPr>
        <w:t>机构名称：</w:t>
      </w:r>
      <w:r>
        <w:rPr>
          <w:rFonts w:eastAsia="楷体_GB2312" w:hint="eastAsia"/>
          <w:sz w:val="26"/>
          <w:szCs w:val="28"/>
          <w:u w:val="single"/>
        </w:rPr>
        <w:t xml:space="preserve">　　　　　　　　　　　　　　　　　　　　　　　　</w:t>
      </w:r>
    </w:p>
    <w:p w14:paraId="146EEF3B" w14:textId="77777777" w:rsidR="002D3EC1" w:rsidRDefault="002D3EC1" w:rsidP="002D3EC1">
      <w:pPr>
        <w:spacing w:line="276" w:lineRule="auto"/>
        <w:rPr>
          <w:rFonts w:eastAsia="楷体_GB2312"/>
          <w:sz w:val="26"/>
          <w:szCs w:val="28"/>
          <w:u w:val="single"/>
        </w:rPr>
      </w:pPr>
      <w:r>
        <w:rPr>
          <w:rFonts w:eastAsia="楷体_GB2312" w:hint="eastAsia"/>
          <w:sz w:val="26"/>
          <w:szCs w:val="28"/>
        </w:rPr>
        <w:t>营业执照注册号：</w:t>
      </w:r>
      <w:r>
        <w:rPr>
          <w:rFonts w:eastAsia="楷体_GB2312" w:hint="eastAsia"/>
          <w:sz w:val="26"/>
          <w:szCs w:val="28"/>
          <w:u w:val="single"/>
        </w:rPr>
        <w:t xml:space="preserve">　　　　　　　　　　　　　　　　　　　　　</w:t>
      </w:r>
    </w:p>
    <w:p w14:paraId="7EDC785B" w14:textId="77777777" w:rsidR="002D3EC1" w:rsidRDefault="002D3EC1" w:rsidP="002D3EC1">
      <w:pPr>
        <w:spacing w:line="276" w:lineRule="auto"/>
        <w:rPr>
          <w:rFonts w:eastAsia="楷体_GB2312"/>
          <w:sz w:val="26"/>
          <w:szCs w:val="28"/>
          <w:u w:val="single"/>
        </w:rPr>
      </w:pPr>
      <w:r>
        <w:rPr>
          <w:rFonts w:eastAsia="楷体_GB2312" w:hint="eastAsia"/>
          <w:sz w:val="26"/>
          <w:szCs w:val="28"/>
        </w:rPr>
        <w:t>组织机构代码证号：</w:t>
      </w:r>
      <w:r>
        <w:rPr>
          <w:rFonts w:eastAsia="楷体_GB2312" w:hint="eastAsia"/>
          <w:sz w:val="26"/>
          <w:szCs w:val="28"/>
          <w:u w:val="single"/>
        </w:rPr>
        <w:t xml:space="preserve">　　　　　　　　　　　　　　　　　　　　</w:t>
      </w:r>
    </w:p>
    <w:p w14:paraId="6B0237A9" w14:textId="77777777" w:rsidR="002D3EC1" w:rsidRDefault="002D3EC1" w:rsidP="002D3EC1">
      <w:pPr>
        <w:spacing w:line="276" w:lineRule="auto"/>
        <w:rPr>
          <w:rFonts w:eastAsia="楷体_GB2312"/>
          <w:sz w:val="26"/>
          <w:szCs w:val="28"/>
          <w:u w:val="single"/>
        </w:rPr>
      </w:pPr>
      <w:r>
        <w:rPr>
          <w:rFonts w:eastAsia="楷体_GB2312" w:hint="eastAsia"/>
          <w:sz w:val="26"/>
          <w:szCs w:val="28"/>
        </w:rPr>
        <w:t>税务登记证号：</w:t>
      </w:r>
      <w:r>
        <w:rPr>
          <w:rFonts w:eastAsia="楷体_GB2312" w:hint="eastAsia"/>
          <w:sz w:val="26"/>
          <w:szCs w:val="28"/>
          <w:u w:val="single"/>
        </w:rPr>
        <w:t xml:space="preserve">　　　　　　　　　　　　　　　　　　　　　　</w:t>
      </w:r>
    </w:p>
    <w:p w14:paraId="4F1E514B" w14:textId="77777777" w:rsidR="002D3EC1" w:rsidRDefault="002D3EC1" w:rsidP="002D3EC1">
      <w:pPr>
        <w:spacing w:line="276" w:lineRule="auto"/>
        <w:rPr>
          <w:rFonts w:eastAsia="楷体_GB2312"/>
          <w:sz w:val="26"/>
          <w:szCs w:val="28"/>
          <w:u w:val="single"/>
        </w:rPr>
      </w:pPr>
      <w:r>
        <w:rPr>
          <w:rFonts w:eastAsia="楷体_GB2312" w:hint="eastAsia"/>
          <w:sz w:val="26"/>
          <w:szCs w:val="28"/>
        </w:rPr>
        <w:t>法定代表人：</w:t>
      </w:r>
      <w:r>
        <w:rPr>
          <w:rFonts w:eastAsia="楷体_GB2312" w:hint="eastAsia"/>
          <w:sz w:val="26"/>
          <w:szCs w:val="28"/>
          <w:u w:val="single"/>
        </w:rPr>
        <w:t xml:space="preserve">　　　　　　</w:t>
      </w:r>
      <w:r>
        <w:rPr>
          <w:rFonts w:eastAsia="楷体_GB2312" w:hint="eastAsia"/>
          <w:sz w:val="26"/>
          <w:szCs w:val="28"/>
        </w:rPr>
        <w:t>身份证号码：</w:t>
      </w:r>
      <w:r>
        <w:rPr>
          <w:rFonts w:eastAsia="楷体_GB2312" w:hint="eastAsia"/>
          <w:sz w:val="26"/>
          <w:szCs w:val="28"/>
          <w:u w:val="single"/>
        </w:rPr>
        <w:t xml:space="preserve">　　　　　　　　　　　</w:t>
      </w:r>
    </w:p>
    <w:p w14:paraId="592190AC" w14:textId="77777777" w:rsidR="002D3EC1" w:rsidRDefault="002D3EC1" w:rsidP="002D3EC1">
      <w:pPr>
        <w:spacing w:line="276" w:lineRule="auto"/>
        <w:rPr>
          <w:rFonts w:eastAsia="楷体_GB2312"/>
          <w:sz w:val="26"/>
          <w:szCs w:val="28"/>
          <w:u w:val="single"/>
        </w:rPr>
      </w:pPr>
      <w:r>
        <w:rPr>
          <w:rFonts w:eastAsia="楷体_GB2312" w:hint="eastAsia"/>
          <w:sz w:val="26"/>
          <w:szCs w:val="28"/>
        </w:rPr>
        <w:t>授权代理人：</w:t>
      </w:r>
      <w:r>
        <w:rPr>
          <w:rFonts w:eastAsia="楷体_GB2312" w:hint="eastAsia"/>
          <w:sz w:val="26"/>
          <w:szCs w:val="28"/>
          <w:u w:val="single"/>
        </w:rPr>
        <w:t xml:space="preserve">　　　　　　</w:t>
      </w:r>
      <w:r>
        <w:rPr>
          <w:rFonts w:eastAsia="楷体_GB2312" w:hint="eastAsia"/>
          <w:sz w:val="26"/>
          <w:szCs w:val="28"/>
        </w:rPr>
        <w:t>身份证号码：</w:t>
      </w:r>
      <w:r>
        <w:rPr>
          <w:rFonts w:eastAsia="楷体_GB2312" w:hint="eastAsia"/>
          <w:sz w:val="26"/>
          <w:szCs w:val="28"/>
          <w:u w:val="single"/>
        </w:rPr>
        <w:t xml:space="preserve">　　　　　　　　　　　</w:t>
      </w:r>
    </w:p>
    <w:p w14:paraId="77B7FBEF" w14:textId="77777777" w:rsidR="002D3EC1" w:rsidRDefault="002D3EC1" w:rsidP="002D3EC1">
      <w:pPr>
        <w:spacing w:line="276" w:lineRule="auto"/>
        <w:rPr>
          <w:rFonts w:eastAsia="楷体_GB2312"/>
          <w:sz w:val="26"/>
          <w:szCs w:val="28"/>
          <w:u w:val="single"/>
        </w:rPr>
      </w:pPr>
      <w:r>
        <w:rPr>
          <w:rFonts w:eastAsia="楷体_GB2312" w:hint="eastAsia"/>
          <w:sz w:val="26"/>
          <w:szCs w:val="28"/>
        </w:rPr>
        <w:t>联系地址：</w:t>
      </w:r>
      <w:r>
        <w:rPr>
          <w:rFonts w:eastAsia="楷体_GB2312" w:hint="eastAsia"/>
          <w:sz w:val="26"/>
          <w:szCs w:val="28"/>
          <w:u w:val="single"/>
        </w:rPr>
        <w:t xml:space="preserve">　　　　　　　　　　　　　　　　　　　　　　　　</w:t>
      </w:r>
    </w:p>
    <w:p w14:paraId="6848FDC7" w14:textId="77777777" w:rsidR="002D3EC1" w:rsidRDefault="002D3EC1" w:rsidP="002D3EC1">
      <w:pPr>
        <w:spacing w:line="276" w:lineRule="auto"/>
        <w:rPr>
          <w:rFonts w:eastAsia="楷体_GB2312"/>
          <w:sz w:val="26"/>
          <w:szCs w:val="28"/>
          <w:u w:val="single"/>
        </w:rPr>
      </w:pPr>
      <w:r>
        <w:rPr>
          <w:rFonts w:eastAsia="楷体_GB2312" w:hint="eastAsia"/>
          <w:sz w:val="26"/>
          <w:szCs w:val="28"/>
        </w:rPr>
        <w:t>邮政编码：</w:t>
      </w:r>
      <w:r>
        <w:rPr>
          <w:rFonts w:eastAsia="楷体_GB2312" w:hint="eastAsia"/>
          <w:sz w:val="26"/>
          <w:szCs w:val="28"/>
          <w:u w:val="single"/>
        </w:rPr>
        <w:t xml:space="preserve">　　　　　　　</w:t>
      </w:r>
      <w:r>
        <w:rPr>
          <w:rFonts w:eastAsia="楷体_GB2312" w:hint="eastAsia"/>
          <w:sz w:val="26"/>
          <w:szCs w:val="28"/>
        </w:rPr>
        <w:t>电子邮件：</w:t>
      </w:r>
      <w:r>
        <w:rPr>
          <w:rFonts w:eastAsia="楷体_GB2312" w:hint="eastAsia"/>
          <w:sz w:val="26"/>
          <w:szCs w:val="28"/>
          <w:u w:val="single"/>
        </w:rPr>
        <w:t xml:space="preserve">　　　　　　　　　　　　</w:t>
      </w:r>
    </w:p>
    <w:p w14:paraId="533CA22B" w14:textId="77777777" w:rsidR="002D3EC1" w:rsidRDefault="002D3EC1" w:rsidP="002D3EC1">
      <w:pPr>
        <w:spacing w:line="276" w:lineRule="auto"/>
        <w:rPr>
          <w:rFonts w:eastAsia="楷体_GB2312"/>
          <w:sz w:val="26"/>
          <w:szCs w:val="28"/>
        </w:rPr>
      </w:pPr>
      <w:r>
        <w:rPr>
          <w:rFonts w:eastAsia="楷体_GB2312" w:hint="eastAsia"/>
          <w:sz w:val="26"/>
          <w:szCs w:val="28"/>
        </w:rPr>
        <w:t>固定电话：</w:t>
      </w:r>
      <w:r>
        <w:rPr>
          <w:rFonts w:eastAsia="楷体_GB2312" w:hint="eastAsia"/>
          <w:sz w:val="26"/>
          <w:szCs w:val="28"/>
          <w:u w:val="single"/>
        </w:rPr>
        <w:t xml:space="preserve">　　　　　　　</w:t>
      </w:r>
      <w:r>
        <w:rPr>
          <w:rFonts w:eastAsia="楷体_GB2312" w:hint="eastAsia"/>
          <w:sz w:val="26"/>
          <w:szCs w:val="28"/>
        </w:rPr>
        <w:t>移动电话：</w:t>
      </w:r>
      <w:r>
        <w:rPr>
          <w:rFonts w:eastAsia="楷体_GB2312" w:hint="eastAsia"/>
          <w:sz w:val="26"/>
          <w:szCs w:val="28"/>
          <w:u w:val="single"/>
        </w:rPr>
        <w:t xml:space="preserve">　　　　　　　　　　　　</w:t>
      </w:r>
    </w:p>
    <w:p w14:paraId="58263485" w14:textId="77777777" w:rsidR="002D3EC1" w:rsidRDefault="002D3EC1" w:rsidP="002D3EC1">
      <w:pPr>
        <w:numPr>
          <w:ilvl w:val="1"/>
          <w:numId w:val="34"/>
        </w:numPr>
        <w:ind w:left="0" w:firstLineChars="200" w:firstLine="380"/>
        <w:jc w:val="left"/>
        <w:rPr>
          <w:rFonts w:eastAsia="楷体_GB2312"/>
          <w:sz w:val="26"/>
          <w:szCs w:val="28"/>
        </w:rPr>
      </w:pPr>
      <w:r>
        <w:rPr>
          <w:rFonts w:eastAsia="楷体_GB2312"/>
          <w:sz w:val="19"/>
          <w:szCs w:val="21"/>
        </w:rPr>
        <w:br w:type="page"/>
      </w:r>
      <w:r>
        <w:rPr>
          <w:rFonts w:eastAsia="楷体_GB2312" w:hint="eastAsia"/>
          <w:sz w:val="26"/>
          <w:szCs w:val="28"/>
        </w:rPr>
        <w:lastRenderedPageBreak/>
        <w:t>授信额度（由乙方填写）</w:t>
      </w:r>
    </w:p>
    <w:tbl>
      <w:tblPr>
        <w:tblW w:w="8336" w:type="dxa"/>
        <w:tblLayout w:type="fixed"/>
        <w:tblCellMar>
          <w:left w:w="0" w:type="dxa"/>
          <w:right w:w="0" w:type="dxa"/>
        </w:tblCellMar>
        <w:tblLook w:val="04A0" w:firstRow="1" w:lastRow="0" w:firstColumn="1" w:lastColumn="0" w:noHBand="0" w:noVBand="1"/>
      </w:tblPr>
      <w:tblGrid>
        <w:gridCol w:w="1590"/>
        <w:gridCol w:w="704"/>
        <w:gridCol w:w="6042"/>
      </w:tblGrid>
      <w:tr w:rsidR="002D3EC1" w14:paraId="1E947734" w14:textId="77777777" w:rsidTr="009E7DF3">
        <w:trPr>
          <w:trHeight w:val="270"/>
        </w:trPr>
        <w:tc>
          <w:tcPr>
            <w:tcW w:w="1590" w:type="dxa"/>
            <w:vMerge w:val="restart"/>
            <w:tcBorders>
              <w:top w:val="single" w:sz="12" w:space="0" w:color="auto"/>
              <w:bottom w:val="single" w:sz="4" w:space="0" w:color="auto"/>
              <w:right w:val="single" w:sz="4" w:space="0" w:color="auto"/>
            </w:tcBorders>
            <w:tcMar>
              <w:top w:w="15" w:type="dxa"/>
              <w:left w:w="15" w:type="dxa"/>
              <w:bottom w:w="0" w:type="dxa"/>
              <w:right w:w="15" w:type="dxa"/>
            </w:tcMar>
            <w:vAlign w:val="center"/>
          </w:tcPr>
          <w:p w14:paraId="4CB9B78B" w14:textId="77777777" w:rsidR="002D3EC1" w:rsidRDefault="002D3EC1" w:rsidP="009E7DF3">
            <w:pPr>
              <w:widowControl/>
              <w:jc w:val="center"/>
              <w:rPr>
                <w:rFonts w:eastAsia="楷体_GB2312" w:cs="宋体"/>
                <w:color w:val="000000"/>
                <w:kern w:val="0"/>
                <w:sz w:val="26"/>
                <w:szCs w:val="28"/>
              </w:rPr>
            </w:pPr>
            <w:r>
              <w:rPr>
                <w:rFonts w:eastAsia="楷体_GB2312" w:cs="宋体" w:hint="eastAsia"/>
                <w:color w:val="000000"/>
                <w:kern w:val="0"/>
                <w:sz w:val="26"/>
                <w:szCs w:val="28"/>
              </w:rPr>
              <w:t>授信额度</w:t>
            </w:r>
          </w:p>
        </w:tc>
        <w:tc>
          <w:tcPr>
            <w:tcW w:w="704" w:type="dxa"/>
            <w:tcBorders>
              <w:top w:val="single" w:sz="12" w:space="0" w:color="auto"/>
              <w:left w:val="nil"/>
              <w:bottom w:val="single" w:sz="4" w:space="0" w:color="auto"/>
              <w:right w:val="single" w:sz="4" w:space="0" w:color="auto"/>
            </w:tcBorders>
            <w:tcMar>
              <w:top w:w="15" w:type="dxa"/>
              <w:left w:w="15" w:type="dxa"/>
              <w:bottom w:w="0" w:type="dxa"/>
              <w:right w:w="15" w:type="dxa"/>
            </w:tcMar>
            <w:vAlign w:val="center"/>
          </w:tcPr>
          <w:p w14:paraId="0BC3388D" w14:textId="77777777" w:rsidR="002D3EC1" w:rsidRDefault="002D3EC1" w:rsidP="009E7DF3">
            <w:pPr>
              <w:widowControl/>
              <w:jc w:val="center"/>
              <w:rPr>
                <w:rFonts w:eastAsia="楷体_GB2312" w:cs="宋体"/>
                <w:color w:val="000000"/>
                <w:kern w:val="0"/>
                <w:sz w:val="26"/>
                <w:szCs w:val="28"/>
              </w:rPr>
            </w:pPr>
            <w:r>
              <w:rPr>
                <w:rFonts w:eastAsia="楷体_GB2312" w:cs="宋体" w:hint="eastAsia"/>
                <w:color w:val="000000"/>
                <w:kern w:val="0"/>
                <w:sz w:val="26"/>
                <w:szCs w:val="28"/>
              </w:rPr>
              <w:t>大写</w:t>
            </w:r>
          </w:p>
        </w:tc>
        <w:tc>
          <w:tcPr>
            <w:tcW w:w="6042" w:type="dxa"/>
            <w:tcBorders>
              <w:top w:val="single" w:sz="12" w:space="0" w:color="auto"/>
              <w:left w:val="nil"/>
              <w:bottom w:val="single" w:sz="4" w:space="0" w:color="auto"/>
            </w:tcBorders>
            <w:tcMar>
              <w:top w:w="15" w:type="dxa"/>
              <w:left w:w="15" w:type="dxa"/>
              <w:bottom w:w="0" w:type="dxa"/>
              <w:right w:w="15" w:type="dxa"/>
            </w:tcMar>
            <w:vAlign w:val="center"/>
          </w:tcPr>
          <w:p w14:paraId="5B5D1FA9" w14:textId="77777777" w:rsidR="002D3EC1" w:rsidRDefault="002D3EC1" w:rsidP="009E7DF3">
            <w:pPr>
              <w:widowControl/>
              <w:jc w:val="left"/>
              <w:rPr>
                <w:rFonts w:eastAsia="楷体_GB2312" w:cs="宋体"/>
                <w:color w:val="000000"/>
                <w:kern w:val="0"/>
                <w:sz w:val="26"/>
                <w:szCs w:val="28"/>
              </w:rPr>
            </w:pPr>
            <w:r>
              <w:rPr>
                <w:rFonts w:eastAsia="楷体_GB2312" w:cs="宋体" w:hint="eastAsia"/>
                <w:color w:val="000000"/>
                <w:kern w:val="0"/>
                <w:sz w:val="26"/>
                <w:szCs w:val="28"/>
              </w:rPr>
              <w:t>人民币</w:t>
            </w:r>
            <w:r>
              <w:rPr>
                <w:rFonts w:eastAsia="楷体_GB2312" w:cs="宋体" w:hint="eastAsia"/>
                <w:color w:val="000000"/>
                <w:kern w:val="0"/>
                <w:sz w:val="26"/>
                <w:szCs w:val="28"/>
              </w:rPr>
              <w:t xml:space="preserve">                              </w:t>
            </w:r>
            <w:r>
              <w:rPr>
                <w:rFonts w:eastAsia="楷体_GB2312" w:cs="宋体" w:hint="eastAsia"/>
                <w:color w:val="000000"/>
                <w:kern w:val="0"/>
                <w:sz w:val="26"/>
                <w:szCs w:val="28"/>
              </w:rPr>
              <w:t>元整</w:t>
            </w:r>
          </w:p>
        </w:tc>
      </w:tr>
      <w:tr w:rsidR="002D3EC1" w14:paraId="7E9A50FF" w14:textId="77777777" w:rsidTr="009E7DF3">
        <w:trPr>
          <w:trHeight w:val="270"/>
        </w:trPr>
        <w:tc>
          <w:tcPr>
            <w:tcW w:w="1590" w:type="dxa"/>
            <w:vMerge/>
            <w:tcBorders>
              <w:top w:val="single" w:sz="4" w:space="0" w:color="auto"/>
              <w:bottom w:val="single" w:sz="4" w:space="0" w:color="auto"/>
              <w:right w:val="single" w:sz="4" w:space="0" w:color="auto"/>
            </w:tcBorders>
            <w:vAlign w:val="center"/>
          </w:tcPr>
          <w:p w14:paraId="40ADD371" w14:textId="77777777" w:rsidR="002D3EC1" w:rsidRDefault="002D3EC1" w:rsidP="009E7DF3">
            <w:pPr>
              <w:widowControl/>
              <w:jc w:val="left"/>
              <w:rPr>
                <w:rFonts w:eastAsia="楷体_GB2312" w:cs="宋体"/>
                <w:color w:val="000000"/>
                <w:kern w:val="0"/>
                <w:sz w:val="26"/>
                <w:szCs w:val="28"/>
              </w:rPr>
            </w:pPr>
          </w:p>
        </w:tc>
        <w:tc>
          <w:tcPr>
            <w:tcW w:w="7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7956FD0" w14:textId="77777777" w:rsidR="002D3EC1" w:rsidRDefault="002D3EC1" w:rsidP="009E7DF3">
            <w:pPr>
              <w:widowControl/>
              <w:jc w:val="center"/>
              <w:rPr>
                <w:rFonts w:eastAsia="楷体_GB2312" w:cs="宋体"/>
                <w:color w:val="000000"/>
                <w:kern w:val="0"/>
                <w:sz w:val="26"/>
                <w:szCs w:val="28"/>
              </w:rPr>
            </w:pPr>
            <w:r>
              <w:rPr>
                <w:rFonts w:eastAsia="楷体_GB2312" w:cs="宋体" w:hint="eastAsia"/>
                <w:color w:val="000000"/>
                <w:kern w:val="0"/>
                <w:sz w:val="26"/>
                <w:szCs w:val="28"/>
              </w:rPr>
              <w:t>小写</w:t>
            </w:r>
          </w:p>
        </w:tc>
        <w:tc>
          <w:tcPr>
            <w:tcW w:w="6042" w:type="dxa"/>
            <w:tcBorders>
              <w:top w:val="single" w:sz="4" w:space="0" w:color="auto"/>
              <w:left w:val="single" w:sz="4" w:space="0" w:color="auto"/>
              <w:bottom w:val="single" w:sz="4" w:space="0" w:color="auto"/>
            </w:tcBorders>
            <w:tcMar>
              <w:top w:w="15" w:type="dxa"/>
              <w:left w:w="15" w:type="dxa"/>
              <w:bottom w:w="0" w:type="dxa"/>
              <w:right w:w="15" w:type="dxa"/>
            </w:tcMar>
            <w:vAlign w:val="center"/>
          </w:tcPr>
          <w:p w14:paraId="6AEF6FA1" w14:textId="77777777" w:rsidR="002D3EC1" w:rsidRDefault="002D3EC1" w:rsidP="009E7DF3">
            <w:pPr>
              <w:widowControl/>
              <w:jc w:val="left"/>
              <w:rPr>
                <w:rFonts w:eastAsia="楷体_GB2312" w:cs="宋体"/>
                <w:color w:val="000000"/>
                <w:kern w:val="0"/>
                <w:sz w:val="26"/>
                <w:szCs w:val="28"/>
              </w:rPr>
            </w:pPr>
            <w:r>
              <w:rPr>
                <w:rFonts w:eastAsia="楷体_GB2312" w:cs="宋体" w:hint="eastAsia"/>
                <w:color w:val="000000"/>
                <w:kern w:val="0"/>
                <w:sz w:val="26"/>
                <w:szCs w:val="28"/>
              </w:rPr>
              <w:t>￥</w:t>
            </w:r>
          </w:p>
        </w:tc>
      </w:tr>
    </w:tbl>
    <w:p w14:paraId="01223ADB" w14:textId="77777777" w:rsidR="002D3EC1" w:rsidRDefault="002D3EC1" w:rsidP="002D3EC1">
      <w:pPr>
        <w:ind w:left="562"/>
        <w:jc w:val="left"/>
        <w:rPr>
          <w:rFonts w:eastAsia="楷体_GB2312"/>
          <w:sz w:val="26"/>
          <w:szCs w:val="28"/>
        </w:rPr>
      </w:pPr>
    </w:p>
    <w:p w14:paraId="19388C8C" w14:textId="77777777" w:rsidR="002D3EC1" w:rsidRDefault="002D3EC1" w:rsidP="002D3EC1">
      <w:pPr>
        <w:numPr>
          <w:ilvl w:val="1"/>
          <w:numId w:val="34"/>
        </w:numPr>
        <w:ind w:left="0" w:firstLineChars="200" w:firstLine="520"/>
        <w:jc w:val="left"/>
        <w:rPr>
          <w:rFonts w:eastAsia="楷体_GB2312"/>
          <w:sz w:val="26"/>
          <w:szCs w:val="28"/>
        </w:rPr>
      </w:pPr>
      <w:r>
        <w:rPr>
          <w:rFonts w:eastAsia="楷体_GB2312" w:hint="eastAsia"/>
          <w:sz w:val="26"/>
          <w:szCs w:val="28"/>
        </w:rPr>
        <w:t>融资年利率、融券年费率、日罚息率（由乙方填写）</w:t>
      </w:r>
    </w:p>
    <w:tbl>
      <w:tblPr>
        <w:tblW w:w="8336"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67"/>
        <w:gridCol w:w="1282"/>
        <w:gridCol w:w="1560"/>
        <w:gridCol w:w="1419"/>
        <w:gridCol w:w="1274"/>
        <w:gridCol w:w="1234"/>
      </w:tblGrid>
      <w:tr w:rsidR="002D3EC1" w14:paraId="76150D26" w14:textId="77777777" w:rsidTr="009E7DF3">
        <w:trPr>
          <w:trHeight w:val="270"/>
        </w:trPr>
        <w:tc>
          <w:tcPr>
            <w:tcW w:w="1567" w:type="dxa"/>
            <w:tcBorders>
              <w:top w:val="single" w:sz="12" w:space="0" w:color="auto"/>
              <w:bottom w:val="single" w:sz="12" w:space="0" w:color="auto"/>
            </w:tcBorders>
            <w:tcMar>
              <w:top w:w="15" w:type="dxa"/>
              <w:left w:w="15" w:type="dxa"/>
              <w:bottom w:w="0" w:type="dxa"/>
              <w:right w:w="15" w:type="dxa"/>
            </w:tcMar>
            <w:vAlign w:val="center"/>
          </w:tcPr>
          <w:p w14:paraId="2974980D" w14:textId="77777777" w:rsidR="002D3EC1" w:rsidRDefault="002D3EC1" w:rsidP="009E7DF3">
            <w:pPr>
              <w:widowControl/>
              <w:jc w:val="center"/>
              <w:rPr>
                <w:rFonts w:eastAsia="楷体_GB2312" w:cs="宋体"/>
                <w:color w:val="000000"/>
                <w:kern w:val="0"/>
                <w:sz w:val="26"/>
                <w:szCs w:val="28"/>
              </w:rPr>
            </w:pPr>
            <w:r>
              <w:rPr>
                <w:rFonts w:eastAsia="楷体_GB2312" w:cs="宋体" w:hint="eastAsia"/>
                <w:color w:val="000000"/>
                <w:kern w:val="0"/>
                <w:sz w:val="26"/>
                <w:szCs w:val="28"/>
              </w:rPr>
              <w:t>融资年利率</w:t>
            </w:r>
          </w:p>
        </w:tc>
        <w:tc>
          <w:tcPr>
            <w:tcW w:w="1282" w:type="dxa"/>
            <w:tcBorders>
              <w:top w:val="single" w:sz="12" w:space="0" w:color="auto"/>
              <w:bottom w:val="single" w:sz="12" w:space="0" w:color="auto"/>
            </w:tcBorders>
            <w:tcMar>
              <w:top w:w="15" w:type="dxa"/>
              <w:left w:w="15" w:type="dxa"/>
              <w:bottom w:w="0" w:type="dxa"/>
              <w:right w:w="15" w:type="dxa"/>
            </w:tcMar>
            <w:vAlign w:val="center"/>
          </w:tcPr>
          <w:p w14:paraId="78F9EABF" w14:textId="77777777" w:rsidR="002D3EC1" w:rsidRDefault="002D3EC1" w:rsidP="009E7DF3">
            <w:pPr>
              <w:widowControl/>
              <w:jc w:val="right"/>
              <w:rPr>
                <w:rFonts w:eastAsia="楷体_GB2312" w:cs="宋体"/>
                <w:color w:val="000000"/>
                <w:kern w:val="0"/>
                <w:sz w:val="26"/>
                <w:szCs w:val="28"/>
              </w:rPr>
            </w:pPr>
            <w:r>
              <w:rPr>
                <w:rFonts w:eastAsia="楷体_GB2312" w:cs="宋体"/>
                <w:color w:val="000000"/>
                <w:kern w:val="0"/>
                <w:sz w:val="26"/>
                <w:szCs w:val="28"/>
              </w:rPr>
              <w:t>%</w:t>
            </w:r>
          </w:p>
        </w:tc>
        <w:tc>
          <w:tcPr>
            <w:tcW w:w="1560" w:type="dxa"/>
            <w:tcBorders>
              <w:top w:val="single" w:sz="12" w:space="0" w:color="auto"/>
              <w:bottom w:val="single" w:sz="12" w:space="0" w:color="auto"/>
            </w:tcBorders>
            <w:tcMar>
              <w:top w:w="15" w:type="dxa"/>
              <w:left w:w="15" w:type="dxa"/>
              <w:bottom w:w="0" w:type="dxa"/>
              <w:right w:w="15" w:type="dxa"/>
            </w:tcMar>
            <w:vAlign w:val="center"/>
          </w:tcPr>
          <w:p w14:paraId="26AF968A" w14:textId="77777777" w:rsidR="002D3EC1" w:rsidRDefault="002D3EC1" w:rsidP="009E7DF3">
            <w:pPr>
              <w:jc w:val="center"/>
              <w:rPr>
                <w:rFonts w:eastAsia="楷体_GB2312" w:cs="宋体"/>
                <w:color w:val="000000"/>
                <w:kern w:val="0"/>
                <w:sz w:val="26"/>
                <w:szCs w:val="28"/>
              </w:rPr>
            </w:pPr>
            <w:r>
              <w:rPr>
                <w:rFonts w:eastAsia="楷体_GB2312" w:cs="宋体" w:hint="eastAsia"/>
                <w:color w:val="000000"/>
                <w:kern w:val="0"/>
                <w:sz w:val="26"/>
                <w:szCs w:val="28"/>
              </w:rPr>
              <w:t>融券年费率</w:t>
            </w:r>
          </w:p>
        </w:tc>
        <w:tc>
          <w:tcPr>
            <w:tcW w:w="1419" w:type="dxa"/>
            <w:tcBorders>
              <w:top w:val="single" w:sz="12" w:space="0" w:color="auto"/>
              <w:bottom w:val="single" w:sz="12" w:space="0" w:color="auto"/>
            </w:tcBorders>
            <w:tcMar>
              <w:top w:w="15" w:type="dxa"/>
              <w:left w:w="15" w:type="dxa"/>
              <w:bottom w:w="0" w:type="dxa"/>
              <w:right w:w="15" w:type="dxa"/>
            </w:tcMar>
            <w:vAlign w:val="center"/>
          </w:tcPr>
          <w:p w14:paraId="392EF2A4" w14:textId="77777777" w:rsidR="002D3EC1" w:rsidRDefault="002D3EC1" w:rsidP="009E7DF3">
            <w:pPr>
              <w:widowControl/>
              <w:jc w:val="right"/>
              <w:rPr>
                <w:rFonts w:eastAsia="楷体_GB2312" w:cs="宋体"/>
                <w:color w:val="000000"/>
                <w:kern w:val="0"/>
                <w:sz w:val="26"/>
                <w:szCs w:val="28"/>
              </w:rPr>
            </w:pPr>
            <w:r>
              <w:rPr>
                <w:rFonts w:eastAsia="楷体_GB2312" w:cs="宋体"/>
                <w:color w:val="000000"/>
                <w:kern w:val="0"/>
                <w:sz w:val="26"/>
                <w:szCs w:val="28"/>
              </w:rPr>
              <w:t>%</w:t>
            </w:r>
          </w:p>
        </w:tc>
        <w:tc>
          <w:tcPr>
            <w:tcW w:w="1274" w:type="dxa"/>
            <w:tcBorders>
              <w:top w:val="single" w:sz="12" w:space="0" w:color="auto"/>
              <w:bottom w:val="single" w:sz="12" w:space="0" w:color="auto"/>
            </w:tcBorders>
            <w:tcMar>
              <w:top w:w="15" w:type="dxa"/>
              <w:left w:w="15" w:type="dxa"/>
              <w:bottom w:w="0" w:type="dxa"/>
              <w:right w:w="15" w:type="dxa"/>
            </w:tcMar>
            <w:vAlign w:val="center"/>
          </w:tcPr>
          <w:p w14:paraId="591F547E" w14:textId="77777777" w:rsidR="002D3EC1" w:rsidRDefault="002D3EC1" w:rsidP="009E7DF3">
            <w:pPr>
              <w:widowControl/>
              <w:jc w:val="center"/>
              <w:rPr>
                <w:rFonts w:eastAsia="楷体_GB2312" w:cs="宋体"/>
                <w:color w:val="000000"/>
                <w:kern w:val="0"/>
                <w:sz w:val="26"/>
                <w:szCs w:val="28"/>
              </w:rPr>
            </w:pPr>
            <w:r>
              <w:rPr>
                <w:rFonts w:eastAsia="楷体_GB2312" w:cs="宋体" w:hint="eastAsia"/>
                <w:color w:val="000000"/>
                <w:kern w:val="0"/>
                <w:sz w:val="26"/>
                <w:szCs w:val="28"/>
              </w:rPr>
              <w:t>日罚息率</w:t>
            </w:r>
          </w:p>
        </w:tc>
        <w:tc>
          <w:tcPr>
            <w:tcW w:w="1234" w:type="dxa"/>
            <w:tcBorders>
              <w:top w:val="single" w:sz="12" w:space="0" w:color="auto"/>
              <w:bottom w:val="single" w:sz="12" w:space="0" w:color="auto"/>
            </w:tcBorders>
            <w:tcMar>
              <w:top w:w="15" w:type="dxa"/>
              <w:left w:w="15" w:type="dxa"/>
              <w:bottom w:w="0" w:type="dxa"/>
              <w:right w:w="15" w:type="dxa"/>
            </w:tcMar>
            <w:vAlign w:val="center"/>
          </w:tcPr>
          <w:p w14:paraId="21F95A97" w14:textId="77777777" w:rsidR="002D3EC1" w:rsidRDefault="002D3EC1" w:rsidP="009E7DF3">
            <w:pPr>
              <w:widowControl/>
              <w:jc w:val="right"/>
              <w:rPr>
                <w:rFonts w:eastAsia="楷体_GB2312" w:cs="宋体"/>
                <w:color w:val="000000"/>
                <w:kern w:val="0"/>
                <w:sz w:val="26"/>
                <w:szCs w:val="28"/>
              </w:rPr>
            </w:pPr>
            <w:r>
              <w:rPr>
                <w:rFonts w:eastAsia="楷体_GB2312" w:cs="宋体" w:hint="eastAsia"/>
                <w:color w:val="000000"/>
                <w:kern w:val="0"/>
                <w:sz w:val="26"/>
                <w:szCs w:val="28"/>
              </w:rPr>
              <w:t>‰</w:t>
            </w:r>
          </w:p>
        </w:tc>
      </w:tr>
    </w:tbl>
    <w:p w14:paraId="20A650C9" w14:textId="77777777" w:rsidR="002D3EC1" w:rsidRDefault="002D3EC1" w:rsidP="002D3EC1">
      <w:pPr>
        <w:rPr>
          <w:rFonts w:eastAsia="楷体_GB2312"/>
          <w:sz w:val="22"/>
          <w:szCs w:val="22"/>
        </w:rPr>
      </w:pPr>
      <w:r>
        <w:rPr>
          <w:rFonts w:eastAsia="楷体_GB2312" w:hint="eastAsia"/>
          <w:sz w:val="22"/>
          <w:szCs w:val="22"/>
        </w:rPr>
        <w:t>上述利（费）率均按以下公式换算：日利（费）率</w:t>
      </w:r>
      <w:r>
        <w:rPr>
          <w:rFonts w:eastAsia="楷体_GB2312"/>
          <w:sz w:val="22"/>
          <w:szCs w:val="22"/>
        </w:rPr>
        <w:t>=</w:t>
      </w:r>
      <w:r>
        <w:rPr>
          <w:rFonts w:eastAsia="楷体_GB2312" w:hint="eastAsia"/>
          <w:sz w:val="22"/>
          <w:szCs w:val="22"/>
        </w:rPr>
        <w:t>年利（费）率</w:t>
      </w:r>
      <w:r>
        <w:rPr>
          <w:rFonts w:eastAsia="楷体_GB2312"/>
          <w:sz w:val="22"/>
          <w:szCs w:val="22"/>
        </w:rPr>
        <w:t>/360</w:t>
      </w:r>
      <w:r>
        <w:rPr>
          <w:rFonts w:eastAsia="楷体_GB2312" w:hint="eastAsia"/>
          <w:sz w:val="22"/>
          <w:szCs w:val="22"/>
        </w:rPr>
        <w:t>。乙方有权根据中国人民银行同期金融机构贷款基准利率对融资年利率与融券年费率予以调整。</w:t>
      </w:r>
    </w:p>
    <w:p w14:paraId="2775EABD" w14:textId="77777777" w:rsidR="002D3EC1" w:rsidRDefault="002D3EC1" w:rsidP="002D3EC1">
      <w:pPr>
        <w:ind w:firstLineChars="200" w:firstLine="520"/>
        <w:rPr>
          <w:rFonts w:eastAsia="楷体_GB2312"/>
          <w:sz w:val="26"/>
          <w:szCs w:val="28"/>
        </w:rPr>
      </w:pPr>
    </w:p>
    <w:p w14:paraId="71BB2594" w14:textId="77777777" w:rsidR="002D3EC1" w:rsidRDefault="002D3EC1" w:rsidP="002D3EC1">
      <w:pPr>
        <w:rPr>
          <w:rFonts w:eastAsia="楷体_GB2312"/>
          <w:sz w:val="26"/>
          <w:szCs w:val="28"/>
        </w:rPr>
      </w:pPr>
      <w:r>
        <w:rPr>
          <w:rFonts w:eastAsia="楷体_GB2312" w:hint="eastAsia"/>
          <w:sz w:val="26"/>
          <w:szCs w:val="28"/>
        </w:rPr>
        <w:t>甲方签字（个人投资者）：</w:t>
      </w:r>
    </w:p>
    <w:p w14:paraId="339DA590" w14:textId="77777777" w:rsidR="002D3EC1" w:rsidRDefault="002D3EC1" w:rsidP="002D3EC1">
      <w:pPr>
        <w:rPr>
          <w:rFonts w:eastAsia="楷体_GB2312"/>
          <w:sz w:val="26"/>
          <w:szCs w:val="28"/>
        </w:rPr>
      </w:pPr>
      <w:r>
        <w:rPr>
          <w:rFonts w:eastAsia="楷体_GB2312" w:hint="eastAsia"/>
          <w:sz w:val="26"/>
          <w:szCs w:val="28"/>
        </w:rPr>
        <w:t>甲方法定代表人或授权代理人签字（机构投资者）：</w:t>
      </w:r>
    </w:p>
    <w:p w14:paraId="41E55676" w14:textId="77777777" w:rsidR="002D3EC1" w:rsidRDefault="002D3EC1" w:rsidP="002D3EC1">
      <w:pPr>
        <w:rPr>
          <w:rFonts w:eastAsia="楷体_GB2312"/>
          <w:sz w:val="26"/>
          <w:szCs w:val="28"/>
        </w:rPr>
      </w:pPr>
      <w:r>
        <w:rPr>
          <w:rFonts w:eastAsia="楷体_GB2312" w:hint="eastAsia"/>
          <w:sz w:val="26"/>
          <w:szCs w:val="28"/>
        </w:rPr>
        <w:t>甲方公章（机构投资者）：</w:t>
      </w:r>
    </w:p>
    <w:p w14:paraId="1632BBD8" w14:textId="77777777" w:rsidR="002D3EC1" w:rsidRDefault="002D3EC1" w:rsidP="002D3EC1">
      <w:pPr>
        <w:jc w:val="left"/>
        <w:rPr>
          <w:rFonts w:eastAsia="楷体_GB2312"/>
          <w:sz w:val="26"/>
          <w:szCs w:val="28"/>
        </w:rPr>
      </w:pPr>
      <w:r>
        <w:rPr>
          <w:rFonts w:eastAsia="楷体_GB2312" w:hint="eastAsia"/>
          <w:sz w:val="26"/>
          <w:szCs w:val="28"/>
        </w:rPr>
        <w:t>签署日期：</w:t>
      </w:r>
    </w:p>
    <w:p w14:paraId="335D122E" w14:textId="77777777" w:rsidR="002D3EC1" w:rsidRDefault="002D3EC1" w:rsidP="002D3EC1">
      <w:pPr>
        <w:rPr>
          <w:rFonts w:eastAsia="楷体_GB2312"/>
          <w:sz w:val="26"/>
          <w:szCs w:val="28"/>
        </w:rPr>
      </w:pPr>
    </w:p>
    <w:p w14:paraId="148F37D8" w14:textId="77777777" w:rsidR="002D3EC1" w:rsidRDefault="002D3EC1" w:rsidP="002D3EC1">
      <w:pPr>
        <w:rPr>
          <w:rFonts w:eastAsia="楷体_GB2312"/>
          <w:sz w:val="26"/>
          <w:szCs w:val="28"/>
        </w:rPr>
      </w:pPr>
      <w:r>
        <w:rPr>
          <w:rFonts w:eastAsia="楷体_GB2312" w:hint="eastAsia"/>
          <w:sz w:val="26"/>
          <w:szCs w:val="28"/>
        </w:rPr>
        <w:t>乙方盖章：</w:t>
      </w:r>
    </w:p>
    <w:p w14:paraId="555E17BC" w14:textId="77777777" w:rsidR="002D3EC1" w:rsidRDefault="002D3EC1" w:rsidP="002D3EC1">
      <w:pPr>
        <w:rPr>
          <w:rFonts w:eastAsia="楷体_GB2312"/>
          <w:sz w:val="26"/>
          <w:szCs w:val="28"/>
        </w:rPr>
      </w:pPr>
      <w:r>
        <w:rPr>
          <w:rFonts w:eastAsia="楷体_GB2312" w:hint="eastAsia"/>
          <w:sz w:val="26"/>
          <w:szCs w:val="28"/>
        </w:rPr>
        <w:t>乙方经办人签字：</w:t>
      </w:r>
    </w:p>
    <w:p w14:paraId="15C15EF7" w14:textId="77777777" w:rsidR="002D3EC1" w:rsidRDefault="002D3EC1" w:rsidP="002D3EC1">
      <w:pPr>
        <w:rPr>
          <w:rFonts w:eastAsia="楷体_GB2312"/>
          <w:sz w:val="26"/>
          <w:szCs w:val="28"/>
        </w:rPr>
      </w:pPr>
      <w:r>
        <w:rPr>
          <w:rFonts w:eastAsia="楷体_GB2312" w:hint="eastAsia"/>
          <w:sz w:val="26"/>
          <w:szCs w:val="28"/>
        </w:rPr>
        <w:t>签署日期：</w:t>
      </w:r>
    </w:p>
    <w:p w14:paraId="3664F123" w14:textId="77777777" w:rsidR="002D3EC1" w:rsidRDefault="002D3EC1" w:rsidP="002D3EC1">
      <w:pPr>
        <w:ind w:firstLineChars="200" w:firstLine="520"/>
        <w:jc w:val="right"/>
      </w:pPr>
      <w:r>
        <w:rPr>
          <w:rFonts w:eastAsia="楷体_GB2312" w:hint="eastAsia"/>
          <w:sz w:val="26"/>
          <w:szCs w:val="28"/>
        </w:rPr>
        <w:t>（此页以下为空白）</w:t>
      </w:r>
    </w:p>
    <w:p w14:paraId="5983A986" w14:textId="77777777" w:rsidR="002D3EC1" w:rsidRDefault="002D3EC1" w:rsidP="002D3EC1"/>
    <w:p w14:paraId="2B0B6368" w14:textId="77777777" w:rsidR="009E7DF3" w:rsidRPr="002D3EC1" w:rsidRDefault="009E7DF3"/>
    <w:sectPr w:rsidR="009E7DF3" w:rsidRPr="002D3EC1" w:rsidSect="006738FE">
      <w:footerReference w:type="default" r:id="rId24"/>
      <w:pgSz w:w="11900" w:h="16840"/>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40A5F6" w14:textId="77777777" w:rsidR="00664C95" w:rsidRDefault="00664C95" w:rsidP="002D3EC1">
      <w:r>
        <w:separator/>
      </w:r>
    </w:p>
  </w:endnote>
  <w:endnote w:type="continuationSeparator" w:id="0">
    <w:p w14:paraId="5A7D0900" w14:textId="77777777" w:rsidR="00664C95" w:rsidRDefault="00664C95" w:rsidP="002D3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auto"/>
    <w:pitch w:val="default"/>
    <w:sig w:usb0="00000001"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5EF27" w14:textId="77777777" w:rsidR="00534C8D" w:rsidRDefault="00664C95">
    <w:pPr>
      <w:pStyle w:val="a4"/>
    </w:pPr>
    <w:r>
      <w:pict w14:anchorId="27987C6B">
        <v:shapetype id="_x0000_t202" coordsize="21600,21600" o:spt="202" path="m,l,21600r21600,l21600,xe">
          <v:stroke joinstyle="miter"/>
          <v:path gradientshapeok="t" o:connecttype="rect"/>
        </v:shapetype>
        <v:shape id="文本框 8" o:spid="_x0000_s2049" type="#_x0000_t202" style="position:absolute;margin-left:0;margin-top:0;width:10.55pt;height:12.05pt;z-index:1;mso-wrap-style:none;mso-position-horizontal:center;mso-position-horizontal-relative:margin" o:preferrelative="t" filled="f" stroked="f">
          <v:textbox style="mso-fit-shape-to-text:t" inset="0,0,0,0">
            <w:txbxContent>
              <w:p w14:paraId="1FE9CDF8" w14:textId="77777777" w:rsidR="00534C8D" w:rsidRDefault="00534C8D">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70550" w:rsidRPr="00070550">
                  <w:rPr>
                    <w:noProof/>
                  </w:rPr>
                  <w:t>1</w:t>
                </w:r>
                <w:r>
                  <w:rPr>
                    <w:rFonts w:hint="eastAsia"/>
                    <w:sz w:val="18"/>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0BFBE3" w14:textId="77777777" w:rsidR="00664C95" w:rsidRDefault="00664C95" w:rsidP="002D3EC1">
      <w:r>
        <w:separator/>
      </w:r>
    </w:p>
  </w:footnote>
  <w:footnote w:type="continuationSeparator" w:id="0">
    <w:p w14:paraId="56ADFED4" w14:textId="77777777" w:rsidR="00664C95" w:rsidRDefault="00664C95" w:rsidP="002D3E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3500778"/>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C803D3"/>
    <w:multiLevelType w:val="multilevel"/>
    <w:tmpl w:val="05C803D3"/>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2">
    <w:nsid w:val="06F76E5C"/>
    <w:multiLevelType w:val="multilevel"/>
    <w:tmpl w:val="06F76E5C"/>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3">
    <w:nsid w:val="0AA50D0D"/>
    <w:multiLevelType w:val="multilevel"/>
    <w:tmpl w:val="0AA50D0D"/>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4">
    <w:nsid w:val="0B6C6A32"/>
    <w:multiLevelType w:val="multilevel"/>
    <w:tmpl w:val="0B6C6A32"/>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5">
    <w:nsid w:val="0C0A0450"/>
    <w:multiLevelType w:val="multilevel"/>
    <w:tmpl w:val="0C0A0450"/>
    <w:lvl w:ilvl="0" w:tentative="1">
      <w:start w:val="1"/>
      <w:numFmt w:val="chineseCountingThousand"/>
      <w:lvlText w:val="（%1）"/>
      <w:lvlJc w:val="left"/>
      <w:pPr>
        <w:ind w:left="982" w:hanging="420"/>
      </w:pPr>
      <w:rPr>
        <w:rFonts w:hint="eastAsia"/>
        <w:b/>
        <w:i w:val="0"/>
      </w:rPr>
    </w:lvl>
    <w:lvl w:ilvl="1">
      <w:start w:val="1"/>
      <w:numFmt w:val="chineseCountingThousand"/>
      <w:lvlText w:val="（%2）"/>
      <w:lvlJc w:val="left"/>
      <w:pPr>
        <w:ind w:left="1402" w:hanging="420"/>
      </w:pPr>
      <w:rPr>
        <w:rFonts w:hint="eastAsia"/>
        <w:b/>
        <w:i w:val="0"/>
      </w:rPr>
    </w:lvl>
    <w:lvl w:ilvl="2" w:tentative="1">
      <w:start w:val="1"/>
      <w:numFmt w:val="lowerRoman"/>
      <w:lvlText w:val="%3."/>
      <w:lvlJc w:val="right"/>
      <w:pPr>
        <w:ind w:left="1822" w:hanging="420"/>
      </w:pPr>
    </w:lvl>
    <w:lvl w:ilvl="3" w:tentative="1">
      <w:start w:val="1"/>
      <w:numFmt w:val="decimal"/>
      <w:lvlText w:val="%4."/>
      <w:lvlJc w:val="left"/>
      <w:pPr>
        <w:ind w:left="2242" w:hanging="420"/>
      </w:pPr>
    </w:lvl>
    <w:lvl w:ilvl="4" w:tentative="1">
      <w:start w:val="1"/>
      <w:numFmt w:val="lowerLetter"/>
      <w:lvlText w:val="%5)"/>
      <w:lvlJc w:val="left"/>
      <w:pPr>
        <w:ind w:left="2662" w:hanging="420"/>
      </w:pPr>
    </w:lvl>
    <w:lvl w:ilvl="5" w:tentative="1">
      <w:start w:val="1"/>
      <w:numFmt w:val="lowerRoman"/>
      <w:lvlText w:val="%6."/>
      <w:lvlJc w:val="right"/>
      <w:pPr>
        <w:ind w:left="3082" w:hanging="420"/>
      </w:pPr>
    </w:lvl>
    <w:lvl w:ilvl="6" w:tentative="1">
      <w:start w:val="1"/>
      <w:numFmt w:val="decimal"/>
      <w:lvlText w:val="%7."/>
      <w:lvlJc w:val="left"/>
      <w:pPr>
        <w:ind w:left="3502" w:hanging="420"/>
      </w:pPr>
    </w:lvl>
    <w:lvl w:ilvl="7" w:tentative="1">
      <w:start w:val="1"/>
      <w:numFmt w:val="lowerLetter"/>
      <w:lvlText w:val="%8)"/>
      <w:lvlJc w:val="left"/>
      <w:pPr>
        <w:ind w:left="3922" w:hanging="420"/>
      </w:pPr>
    </w:lvl>
    <w:lvl w:ilvl="8" w:tentative="1">
      <w:start w:val="1"/>
      <w:numFmt w:val="lowerRoman"/>
      <w:lvlText w:val="%9."/>
      <w:lvlJc w:val="right"/>
      <w:pPr>
        <w:ind w:left="4342" w:hanging="420"/>
      </w:pPr>
    </w:lvl>
  </w:abstractNum>
  <w:abstractNum w:abstractNumId="6">
    <w:nsid w:val="11F35485"/>
    <w:multiLevelType w:val="multilevel"/>
    <w:tmpl w:val="11F35485"/>
    <w:lvl w:ilvl="0">
      <w:start w:val="1"/>
      <w:numFmt w:val="japaneseCounting"/>
      <w:lvlText w:val="（%1）"/>
      <w:lvlJc w:val="left"/>
      <w:pPr>
        <w:ind w:left="3114"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7">
    <w:nsid w:val="16D81618"/>
    <w:multiLevelType w:val="multilevel"/>
    <w:tmpl w:val="16D81618"/>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8">
    <w:nsid w:val="1A783524"/>
    <w:multiLevelType w:val="multilevel"/>
    <w:tmpl w:val="1A783524"/>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9">
    <w:nsid w:val="21382AA6"/>
    <w:multiLevelType w:val="multilevel"/>
    <w:tmpl w:val="21382AA6"/>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10">
    <w:nsid w:val="213C2963"/>
    <w:multiLevelType w:val="multilevel"/>
    <w:tmpl w:val="213C2963"/>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11">
    <w:nsid w:val="22A54F8B"/>
    <w:multiLevelType w:val="multilevel"/>
    <w:tmpl w:val="22A54F8B"/>
    <w:lvl w:ilvl="0">
      <w:start w:val="1"/>
      <w:numFmt w:val="japaneseCounting"/>
      <w:lvlText w:val="（%1）"/>
      <w:lvlJc w:val="left"/>
      <w:pPr>
        <w:ind w:left="980" w:hanging="420"/>
      </w:pPr>
      <w:rPr>
        <w:rFonts w:hint="default"/>
        <w:lang w:val="en-US"/>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12">
    <w:nsid w:val="2B3D1075"/>
    <w:multiLevelType w:val="multilevel"/>
    <w:tmpl w:val="2B3D1075"/>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13">
    <w:nsid w:val="2BA76417"/>
    <w:multiLevelType w:val="multilevel"/>
    <w:tmpl w:val="2BA76417"/>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14">
    <w:nsid w:val="2C2E296B"/>
    <w:multiLevelType w:val="multilevel"/>
    <w:tmpl w:val="2C2E296B"/>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15">
    <w:nsid w:val="2C9333B1"/>
    <w:multiLevelType w:val="multilevel"/>
    <w:tmpl w:val="2C9333B1"/>
    <w:lvl w:ilvl="0">
      <w:start w:val="1"/>
      <w:numFmt w:val="japaneseCounting"/>
      <w:lvlText w:val="第%1章"/>
      <w:lvlJc w:val="left"/>
      <w:pPr>
        <w:ind w:left="6555" w:hanging="885"/>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6">
    <w:nsid w:val="31F53ADE"/>
    <w:multiLevelType w:val="multilevel"/>
    <w:tmpl w:val="31F53ADE"/>
    <w:lvl w:ilvl="0">
      <w:start w:val="1"/>
      <w:numFmt w:val="japaneseCounting"/>
      <w:lvlText w:val="（%1）"/>
      <w:lvlJc w:val="left"/>
      <w:pPr>
        <w:ind w:left="980" w:hanging="420"/>
      </w:pPr>
      <w:rPr>
        <w:rFonts w:hint="default"/>
        <w:lang w:val="en-US"/>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17">
    <w:nsid w:val="37E9175A"/>
    <w:multiLevelType w:val="multilevel"/>
    <w:tmpl w:val="37E9175A"/>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18">
    <w:nsid w:val="3B197C1A"/>
    <w:multiLevelType w:val="multilevel"/>
    <w:tmpl w:val="3B197C1A"/>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19">
    <w:nsid w:val="3D4C594D"/>
    <w:multiLevelType w:val="multilevel"/>
    <w:tmpl w:val="3D4C594D"/>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20">
    <w:nsid w:val="3EED39FC"/>
    <w:multiLevelType w:val="multilevel"/>
    <w:tmpl w:val="3EED39FC"/>
    <w:lvl w:ilvl="0">
      <w:start w:val="23"/>
      <w:numFmt w:val="chineseCountingThousand"/>
      <w:lvlText w:val="第%1条"/>
      <w:lvlJc w:val="left"/>
      <w:pPr>
        <w:ind w:left="980" w:hanging="420"/>
      </w:pPr>
      <w:rPr>
        <w:rFonts w:hint="eastAsia"/>
        <w:b/>
        <w:i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
    <w:nsid w:val="3F0F525E"/>
    <w:multiLevelType w:val="multilevel"/>
    <w:tmpl w:val="3F0F525E"/>
    <w:lvl w:ilvl="0">
      <w:start w:val="1"/>
      <w:numFmt w:val="decimal"/>
      <w:lvlText w:val="%1."/>
      <w:lvlJc w:val="left"/>
      <w:pPr>
        <w:ind w:left="980" w:hanging="420"/>
      </w:pPr>
      <w:rPr>
        <w:rFonts w:ascii="Times New Roman" w:hAnsi="Times New Roman" w:cs="Times New Roman"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22">
    <w:nsid w:val="444975AE"/>
    <w:multiLevelType w:val="multilevel"/>
    <w:tmpl w:val="444975AE"/>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23">
    <w:nsid w:val="46673339"/>
    <w:multiLevelType w:val="multilevel"/>
    <w:tmpl w:val="46673339"/>
    <w:lvl w:ilvl="0">
      <w:start w:val="1"/>
      <w:numFmt w:val="japaneseCounting"/>
      <w:lvlText w:val="（%1）"/>
      <w:lvlJc w:val="left"/>
      <w:pPr>
        <w:ind w:left="980" w:hanging="420"/>
      </w:pPr>
      <w:rPr>
        <w:rFonts w:hint="default"/>
        <w:lang w:val="en-US"/>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24">
    <w:nsid w:val="4A224007"/>
    <w:multiLevelType w:val="multilevel"/>
    <w:tmpl w:val="4A224007"/>
    <w:lvl w:ilvl="0">
      <w:start w:val="1"/>
      <w:numFmt w:val="japaneseCounting"/>
      <w:lvlText w:val="（%1）"/>
      <w:lvlJc w:val="left"/>
      <w:pPr>
        <w:ind w:left="980" w:hanging="420"/>
      </w:pPr>
      <w:rPr>
        <w:rFonts w:hint="default"/>
        <w:b w:val="0"/>
        <w:sz w:val="21"/>
        <w:szCs w:val="21"/>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25">
    <w:nsid w:val="4A920E97"/>
    <w:multiLevelType w:val="multilevel"/>
    <w:tmpl w:val="4A920E97"/>
    <w:lvl w:ilvl="0">
      <w:start w:val="1"/>
      <w:numFmt w:val="japaneseCounting"/>
      <w:lvlText w:val="（%1）"/>
      <w:lvlJc w:val="left"/>
      <w:pPr>
        <w:ind w:left="1400" w:hanging="420"/>
      </w:pPr>
      <w:rPr>
        <w:rFonts w:hint="default"/>
      </w:rPr>
    </w:lvl>
    <w:lvl w:ilvl="1" w:tentative="1">
      <w:start w:val="1"/>
      <w:numFmt w:val="lowerLetter"/>
      <w:lvlText w:val="%2)"/>
      <w:lvlJc w:val="left"/>
      <w:pPr>
        <w:ind w:left="1820" w:hanging="420"/>
      </w:pPr>
    </w:lvl>
    <w:lvl w:ilvl="2" w:tentative="1">
      <w:start w:val="1"/>
      <w:numFmt w:val="lowerRoman"/>
      <w:lvlText w:val="%3."/>
      <w:lvlJc w:val="right"/>
      <w:pPr>
        <w:ind w:left="2240" w:hanging="420"/>
      </w:pPr>
    </w:lvl>
    <w:lvl w:ilvl="3" w:tentative="1">
      <w:start w:val="1"/>
      <w:numFmt w:val="decimal"/>
      <w:lvlText w:val="%4."/>
      <w:lvlJc w:val="left"/>
      <w:pPr>
        <w:ind w:left="2660" w:hanging="420"/>
      </w:pPr>
    </w:lvl>
    <w:lvl w:ilvl="4" w:tentative="1">
      <w:start w:val="1"/>
      <w:numFmt w:val="lowerLetter"/>
      <w:lvlText w:val="%5)"/>
      <w:lvlJc w:val="left"/>
      <w:pPr>
        <w:ind w:left="3080" w:hanging="420"/>
      </w:pPr>
    </w:lvl>
    <w:lvl w:ilvl="5" w:tentative="1">
      <w:start w:val="1"/>
      <w:numFmt w:val="lowerRoman"/>
      <w:lvlText w:val="%6."/>
      <w:lvlJc w:val="right"/>
      <w:pPr>
        <w:ind w:left="3500" w:hanging="420"/>
      </w:pPr>
    </w:lvl>
    <w:lvl w:ilvl="6" w:tentative="1">
      <w:start w:val="1"/>
      <w:numFmt w:val="decimal"/>
      <w:lvlText w:val="%7."/>
      <w:lvlJc w:val="left"/>
      <w:pPr>
        <w:ind w:left="3920" w:hanging="420"/>
      </w:pPr>
    </w:lvl>
    <w:lvl w:ilvl="7" w:tentative="1">
      <w:start w:val="1"/>
      <w:numFmt w:val="lowerLetter"/>
      <w:lvlText w:val="%8)"/>
      <w:lvlJc w:val="left"/>
      <w:pPr>
        <w:ind w:left="4340" w:hanging="420"/>
      </w:pPr>
    </w:lvl>
    <w:lvl w:ilvl="8" w:tentative="1">
      <w:start w:val="1"/>
      <w:numFmt w:val="lowerRoman"/>
      <w:lvlText w:val="%9."/>
      <w:lvlJc w:val="right"/>
      <w:pPr>
        <w:ind w:left="4760" w:hanging="420"/>
      </w:pPr>
    </w:lvl>
  </w:abstractNum>
  <w:abstractNum w:abstractNumId="26">
    <w:nsid w:val="548007F2"/>
    <w:multiLevelType w:val="singleLevel"/>
    <w:tmpl w:val="548007F2"/>
    <w:lvl w:ilvl="0">
      <w:start w:val="2"/>
      <w:numFmt w:val="chineseCounting"/>
      <w:suff w:val="space"/>
      <w:lvlText w:val="（%1）"/>
      <w:lvlJc w:val="left"/>
    </w:lvl>
  </w:abstractNum>
  <w:abstractNum w:abstractNumId="27">
    <w:nsid w:val="548014F2"/>
    <w:multiLevelType w:val="singleLevel"/>
    <w:tmpl w:val="548014F2"/>
    <w:lvl w:ilvl="0">
      <w:start w:val="2"/>
      <w:numFmt w:val="chineseCounting"/>
      <w:suff w:val="space"/>
      <w:lvlText w:val="（%1）"/>
      <w:lvlJc w:val="left"/>
    </w:lvl>
  </w:abstractNum>
  <w:abstractNum w:abstractNumId="28">
    <w:nsid w:val="56362B57"/>
    <w:multiLevelType w:val="multilevel"/>
    <w:tmpl w:val="56362B57"/>
    <w:lvl w:ilvl="0">
      <w:start w:val="1"/>
      <w:numFmt w:val="decimal"/>
      <w:suff w:val="space"/>
      <w:lvlText w:val="%1、"/>
      <w:lvlJc w:val="left"/>
      <w:pPr>
        <w:ind w:left="980" w:hanging="420"/>
      </w:pPr>
      <w:rPr>
        <w:rFonts w:hint="eastAsia"/>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29">
    <w:nsid w:val="5B260B81"/>
    <w:multiLevelType w:val="multilevel"/>
    <w:tmpl w:val="5B260B81"/>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30">
    <w:nsid w:val="62AF25CA"/>
    <w:multiLevelType w:val="multilevel"/>
    <w:tmpl w:val="62AF25CA"/>
    <w:lvl w:ilvl="0">
      <w:start w:val="1"/>
      <w:numFmt w:val="japaneseCounting"/>
      <w:lvlText w:val="（%1）"/>
      <w:lvlJc w:val="left"/>
      <w:pPr>
        <w:ind w:left="980" w:hanging="420"/>
      </w:pPr>
      <w:rPr>
        <w:rFonts w:hint="default"/>
        <w:lang w:val="en-US"/>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31">
    <w:nsid w:val="64054E5C"/>
    <w:multiLevelType w:val="multilevel"/>
    <w:tmpl w:val="64054E5C"/>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32">
    <w:nsid w:val="666757E6"/>
    <w:multiLevelType w:val="multilevel"/>
    <w:tmpl w:val="666757E6"/>
    <w:lvl w:ilvl="0">
      <w:start w:val="1"/>
      <w:numFmt w:val="chineseCountingThousand"/>
      <w:lvlText w:val="第%1条"/>
      <w:lvlJc w:val="left"/>
      <w:pPr>
        <w:ind w:left="980" w:hanging="420"/>
      </w:pPr>
      <w:rPr>
        <w:rFonts w:hint="eastAsia"/>
        <w:b/>
        <w:i w:val="0"/>
      </w:rPr>
    </w:lvl>
    <w:lvl w:ilvl="1" w:tentative="1">
      <w:start w:val="1"/>
      <w:numFmt w:val="japaneseCounting"/>
      <w:lvlText w:val="（%2）"/>
      <w:lvlJc w:val="left"/>
      <w:pPr>
        <w:ind w:left="1865" w:hanging="885"/>
      </w:pPr>
      <w:rPr>
        <w:rFonts w:hint="default"/>
      </w:r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33">
    <w:nsid w:val="773C16D6"/>
    <w:multiLevelType w:val="multilevel"/>
    <w:tmpl w:val="773C16D6"/>
    <w:lvl w:ilvl="0">
      <w:start w:val="1"/>
      <w:numFmt w:val="japaneseCounting"/>
      <w:lvlText w:val="（%1）"/>
      <w:lvlJc w:val="left"/>
      <w:pPr>
        <w:ind w:left="980" w:hanging="4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34">
    <w:nsid w:val="7D05791E"/>
    <w:multiLevelType w:val="multilevel"/>
    <w:tmpl w:val="7D05791E"/>
    <w:lvl w:ilvl="0">
      <w:start w:val="1"/>
      <w:numFmt w:val="decimal"/>
      <w:lvlText w:val="%1、"/>
      <w:lvlJc w:val="left"/>
      <w:pPr>
        <w:ind w:left="980" w:hanging="420"/>
      </w:pPr>
      <w:rPr>
        <w:rFonts w:ascii="Times New Roman" w:hAnsi="Times New Roman" w:cs="Times New Roman" w:hint="default"/>
        <w:b w:val="0"/>
        <w:i w:val="0"/>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num w:numId="1">
    <w:abstractNumId w:val="15"/>
  </w:num>
  <w:num w:numId="2">
    <w:abstractNumId w:val="32"/>
  </w:num>
  <w:num w:numId="3">
    <w:abstractNumId w:val="33"/>
  </w:num>
  <w:num w:numId="4">
    <w:abstractNumId w:val="10"/>
  </w:num>
  <w:num w:numId="5">
    <w:abstractNumId w:val="7"/>
  </w:num>
  <w:num w:numId="6">
    <w:abstractNumId w:val="8"/>
  </w:num>
  <w:num w:numId="7">
    <w:abstractNumId w:val="29"/>
  </w:num>
  <w:num w:numId="8">
    <w:abstractNumId w:val="22"/>
  </w:num>
  <w:num w:numId="9">
    <w:abstractNumId w:val="4"/>
  </w:num>
  <w:num w:numId="10">
    <w:abstractNumId w:val="11"/>
  </w:num>
  <w:num w:numId="11">
    <w:abstractNumId w:val="25"/>
  </w:num>
  <w:num w:numId="12">
    <w:abstractNumId w:val="14"/>
  </w:num>
  <w:num w:numId="13">
    <w:abstractNumId w:val="26"/>
  </w:num>
  <w:num w:numId="14">
    <w:abstractNumId w:val="24"/>
  </w:num>
  <w:num w:numId="15">
    <w:abstractNumId w:val="27"/>
  </w:num>
  <w:num w:numId="16">
    <w:abstractNumId w:val="20"/>
  </w:num>
  <w:num w:numId="17">
    <w:abstractNumId w:val="16"/>
  </w:num>
  <w:num w:numId="18">
    <w:abstractNumId w:val="3"/>
  </w:num>
  <w:num w:numId="19">
    <w:abstractNumId w:val="34"/>
  </w:num>
  <w:num w:numId="20">
    <w:abstractNumId w:val="30"/>
  </w:num>
  <w:num w:numId="21">
    <w:abstractNumId w:val="18"/>
  </w:num>
  <w:num w:numId="22">
    <w:abstractNumId w:val="6"/>
  </w:num>
  <w:num w:numId="23">
    <w:abstractNumId w:val="13"/>
  </w:num>
  <w:num w:numId="24">
    <w:abstractNumId w:val="28"/>
  </w:num>
  <w:num w:numId="25">
    <w:abstractNumId w:val="1"/>
  </w:num>
  <w:num w:numId="26">
    <w:abstractNumId w:val="31"/>
  </w:num>
  <w:num w:numId="27">
    <w:abstractNumId w:val="2"/>
  </w:num>
  <w:num w:numId="28">
    <w:abstractNumId w:val="17"/>
  </w:num>
  <w:num w:numId="29">
    <w:abstractNumId w:val="9"/>
  </w:num>
  <w:num w:numId="30">
    <w:abstractNumId w:val="19"/>
  </w:num>
  <w:num w:numId="31">
    <w:abstractNumId w:val="12"/>
  </w:num>
  <w:num w:numId="32">
    <w:abstractNumId w:val="21"/>
  </w:num>
  <w:num w:numId="33">
    <w:abstractNumId w:val="23"/>
  </w:num>
  <w:num w:numId="34">
    <w:abstractNumId w:val="5"/>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2050" fillcolor="#9cbee0" strokecolor="#739cc3">
      <v:fill color="#9cbee0" color2="#bbd5f0" type="gradient">
        <o:fill v:ext="view" type="gradientUnscaled"/>
      </v:fill>
      <v:stroke color="#739cc3" weight="1.25pt"/>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7A3B"/>
    <w:rsid w:val="00044527"/>
    <w:rsid w:val="00051EC8"/>
    <w:rsid w:val="00070550"/>
    <w:rsid w:val="00080D22"/>
    <w:rsid w:val="000E4151"/>
    <w:rsid w:val="00127E38"/>
    <w:rsid w:val="00172A27"/>
    <w:rsid w:val="00193739"/>
    <w:rsid w:val="001B0197"/>
    <w:rsid w:val="001E3D44"/>
    <w:rsid w:val="002D3EC1"/>
    <w:rsid w:val="00510539"/>
    <w:rsid w:val="00534C8D"/>
    <w:rsid w:val="00582032"/>
    <w:rsid w:val="00664C95"/>
    <w:rsid w:val="006738FE"/>
    <w:rsid w:val="007048DC"/>
    <w:rsid w:val="00737ACA"/>
    <w:rsid w:val="00784056"/>
    <w:rsid w:val="009759D9"/>
    <w:rsid w:val="009D18B4"/>
    <w:rsid w:val="009E7DF3"/>
    <w:rsid w:val="00A77DD0"/>
    <w:rsid w:val="00AA7F8F"/>
    <w:rsid w:val="00B5370C"/>
    <w:rsid w:val="00D11FA5"/>
    <w:rsid w:val="00D24EB8"/>
    <w:rsid w:val="00EB7F4D"/>
    <w:rsid w:val="00EC2997"/>
    <w:rsid w:val="64B445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4:docId w14:val="3E8BC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nhideWhenUsed="0"/>
    <w:lsdException w:name="caption" w:uiPriority="35" w:qFormat="1"/>
    <w:lsdException w:name="Title" w:semiHidden="0" w:uiPriority="1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List" w:semiHidden="0" w:unhideWhenUsed="0" w:qFormat="1"/>
    <w:lsdException w:name="Colorful Grid" w:semiHidden="0" w:unhideWhenUsed="0" w:qFormat="1"/>
    <w:lsdException w:name="Light Shading Accent 1" w:semiHidden="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rPr>
  </w:style>
  <w:style w:type="paragraph" w:styleId="a4">
    <w:name w:val="footer"/>
    <w:basedOn w:val="a"/>
    <w:link w:val="Char"/>
    <w:uiPriority w:val="99"/>
    <w:pPr>
      <w:tabs>
        <w:tab w:val="center" w:pos="4153"/>
        <w:tab w:val="right" w:pos="8306"/>
      </w:tabs>
      <w:snapToGrid w:val="0"/>
      <w:jc w:val="left"/>
    </w:pPr>
    <w:rPr>
      <w:sz w:val="18"/>
    </w:rPr>
  </w:style>
  <w:style w:type="paragraph" w:styleId="a5">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
    <w:name w:val="页脚 Char"/>
    <w:link w:val="a4"/>
    <w:uiPriority w:val="99"/>
    <w:rsid w:val="002D3EC1"/>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10" Type="http://schemas.openxmlformats.org/officeDocument/2006/relationships/image" Target="media/image1.wmf"/><Relationship Id="rId19" Type="http://schemas.openxmlformats.org/officeDocument/2006/relationships/oleObject" Target="embeddings/oleObject5.bin"/><Relationship Id="rId4" Type="http://schemas.microsoft.com/office/2007/relationships/stylesWithEffects" Target="stylesWithEffects.xml"/><Relationship Id="rId9" Type="http://schemas.openxmlformats.org/officeDocument/2006/relationships/hyperlink" Target="http://www.guodu.com/" TargetMode="External"/><Relationship Id="rId14" Type="http://schemas.openxmlformats.org/officeDocument/2006/relationships/image" Target="media/image3.wmf"/><Relationship Id="rId22" Type="http://schemas.openxmlformats.org/officeDocument/2006/relationships/image" Target="media/image7.wmf"/></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14409-81B9-410B-B71A-B4E6C717C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21</Pages>
  <Words>3023</Words>
  <Characters>17237</Characters>
  <Application>Microsoft Office Word</Application>
  <DocSecurity>0</DocSecurity>
  <PresentationFormat/>
  <Lines>143</Lines>
  <Paragraphs>40</Paragraphs>
  <Slides>0</Slides>
  <Notes>0</Notes>
  <HiddenSlides>0</HiddenSlides>
  <MMClips>0</MMClips>
  <ScaleCrop>false</ScaleCrop>
  <Manager/>
  <Company/>
  <LinksUpToDate>false</LinksUpToDate>
  <CharactersWithSpaces>20220</CharactersWithSpaces>
  <SharedDoc>false</SharedDoc>
  <HLinks>
    <vt:vector size="6" baseType="variant">
      <vt:variant>
        <vt:i4>5767168</vt:i4>
      </vt:variant>
      <vt:variant>
        <vt:i4>0</vt:i4>
      </vt:variant>
      <vt:variant>
        <vt:i4>0</vt:i4>
      </vt:variant>
      <vt:variant>
        <vt:i4>5</vt:i4>
      </vt:variant>
      <vt:variant>
        <vt:lpwstr>http://www.guodu.com/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呈报单位：业务管理中心 签报人：张保东 经办人：师黎瑶 呈报日期：2014年09月29日 </dc:title>
  <dc:subject/>
  <dc:creator/>
  <cp:keywords/>
  <dc:description/>
  <cp:lastModifiedBy>师黎瑶</cp:lastModifiedBy>
  <cp:revision>14</cp:revision>
  <dcterms:created xsi:type="dcterms:W3CDTF">2014-11-26T08:21:00Z</dcterms:created>
  <dcterms:modified xsi:type="dcterms:W3CDTF">2015-10-26T03:12:00Z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2052-9.1.0.4867</vt:lpwstr>
  </property>
</Properties>
</file>