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sz w:val="32"/>
          <w:szCs w:val="32"/>
        </w:rPr>
      </w:pPr>
      <w:bookmarkStart w:id="0" w:name="_GoBack"/>
      <w:bookmarkEnd w:id="0"/>
      <w:r>
        <w:rPr>
          <w:rFonts w:hint="eastAsia" w:ascii="楷体" w:hAnsi="楷体" w:eastAsia="楷体" w:cs="楷体"/>
          <w:b/>
          <w:sz w:val="32"/>
          <w:szCs w:val="32"/>
        </w:rPr>
        <w:t>首创证券有限责任公司融资融券业务合同修订说明</w:t>
      </w:r>
    </w:p>
    <w:p>
      <w:pPr>
        <w:jc w:val="left"/>
        <w:rPr>
          <w:rFonts w:hint="eastAsia" w:ascii="楷体" w:hAnsi="楷体" w:eastAsia="楷体" w:cs="楷体"/>
          <w:b/>
          <w:bCs/>
          <w:sz w:val="24"/>
          <w:szCs w:val="24"/>
          <w:lang w:val="en-US" w:eastAsia="zh-CN"/>
        </w:rPr>
      </w:pPr>
    </w:p>
    <w:p>
      <w:pPr>
        <w:numPr>
          <w:ilvl w:val="0"/>
          <w:numId w:val="1"/>
        </w:numPr>
        <w:jc w:val="left"/>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第七章融资融券期限及息费</w:t>
      </w:r>
    </w:p>
    <w:p>
      <w:pPr>
        <w:numPr>
          <w:ilvl w:val="0"/>
          <w:numId w:val="0"/>
        </w:numPr>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——第十九条 融资融券期限</w:t>
      </w:r>
    </w:p>
    <w:p>
      <w:pPr>
        <w:numPr>
          <w:ilvl w:val="0"/>
          <w:numId w:val="0"/>
        </w:numPr>
        <w:ind w:firstLine="481"/>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将“</w:t>
      </w:r>
      <w:r>
        <w:rPr>
          <w:rFonts w:hint="eastAsia" w:ascii="楷体" w:hAnsi="楷体" w:eastAsia="楷体" w:cs="楷体"/>
          <w:b w:val="0"/>
          <w:bCs w:val="0"/>
          <w:sz w:val="24"/>
          <w:szCs w:val="24"/>
          <w:lang w:val="en-US" w:eastAsia="zh-CN"/>
        </w:rPr>
        <w:t>每次展期时间不超过6个月，且乙方同一笔债务的存续期不超过3年（存续期已满3年，到期日期标的证券处于停牌状态或其他特殊情形除外，该种情形下，乙方可与甲方协商办理），且不得超过本合同终止日。</w:t>
      </w:r>
      <w:r>
        <w:rPr>
          <w:rFonts w:hint="eastAsia" w:ascii="楷体" w:hAnsi="楷体" w:eastAsia="楷体" w:cs="楷体"/>
          <w:b/>
          <w:bCs/>
          <w:sz w:val="24"/>
          <w:szCs w:val="24"/>
          <w:lang w:val="en-US" w:eastAsia="zh-CN"/>
        </w:rPr>
        <w:t>”修改为“</w:t>
      </w:r>
      <w:r>
        <w:rPr>
          <w:rFonts w:hint="eastAsia" w:ascii="楷体" w:hAnsi="楷体" w:eastAsia="楷体" w:cs="楷体"/>
          <w:b w:val="0"/>
          <w:bCs w:val="0"/>
          <w:sz w:val="24"/>
          <w:szCs w:val="24"/>
          <w:lang w:val="en-US" w:eastAsia="zh-CN"/>
        </w:rPr>
        <w:t>每次展期时间不超过6个月（到期日期标的证券处于停牌状态或其他特殊情形除外，该种情形下，乙方可与甲方协商办理），且不得超过本合同终止日。</w:t>
      </w:r>
      <w:r>
        <w:rPr>
          <w:rFonts w:hint="eastAsia" w:ascii="楷体" w:hAnsi="楷体" w:eastAsia="楷体" w:cs="楷体"/>
          <w:b/>
          <w:bCs/>
          <w:sz w:val="24"/>
          <w:szCs w:val="24"/>
          <w:lang w:val="en-US" w:eastAsia="zh-CN"/>
        </w:rPr>
        <w:t>”</w:t>
      </w:r>
    </w:p>
    <w:p>
      <w:pPr>
        <w:numPr>
          <w:ilvl w:val="0"/>
          <w:numId w:val="0"/>
        </w:numPr>
        <w:ind w:firstLine="481"/>
        <w:jc w:val="left"/>
        <w:rPr>
          <w:rFonts w:hint="eastAsia" w:ascii="楷体" w:hAnsi="楷体" w:eastAsia="楷体" w:cs="楷体"/>
          <w:b/>
          <w:bCs/>
          <w:sz w:val="24"/>
          <w:szCs w:val="24"/>
          <w:lang w:val="en-US" w:eastAsia="zh-CN"/>
        </w:rPr>
      </w:pPr>
    </w:p>
    <w:p>
      <w:pPr>
        <w:numPr>
          <w:ilvl w:val="0"/>
          <w:numId w:val="0"/>
        </w:numPr>
        <w:jc w:val="left"/>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第九章 追加担保物及强制平仓</w:t>
      </w:r>
    </w:p>
    <w:p>
      <w:pPr>
        <w:numPr>
          <w:ilvl w:val="0"/>
          <w:numId w:val="0"/>
        </w:numPr>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——第三十七条 追加担保物</w:t>
      </w:r>
    </w:p>
    <w:p>
      <w:pPr>
        <w:numPr>
          <w:ilvl w:val="0"/>
          <w:numId w:val="0"/>
        </w:numPr>
        <w:ind w:firstLine="481"/>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将“</w:t>
      </w:r>
      <w:r>
        <w:rPr>
          <w:rFonts w:hint="eastAsia" w:ascii="楷体" w:hAnsi="楷体" w:eastAsia="楷体" w:cs="楷体"/>
          <w:b w:val="0"/>
          <w:bCs w:val="0"/>
          <w:sz w:val="24"/>
          <w:szCs w:val="24"/>
          <w:lang w:val="en-US" w:eastAsia="zh-CN"/>
        </w:rPr>
        <w:t>当甲方信用账户当日（T日）日终清算后维持担保比例低于平仓线时</w:t>
      </w:r>
      <w:r>
        <w:rPr>
          <w:rFonts w:hint="eastAsia" w:ascii="楷体" w:hAnsi="楷体" w:eastAsia="楷体" w:cs="楷体"/>
          <w:b/>
          <w:bCs/>
          <w:sz w:val="24"/>
          <w:szCs w:val="24"/>
          <w:lang w:val="en-US" w:eastAsia="zh-CN"/>
        </w:rPr>
        <w:t>”修改为“</w:t>
      </w:r>
      <w:r>
        <w:rPr>
          <w:rFonts w:hint="eastAsia" w:ascii="楷体" w:hAnsi="楷体" w:eastAsia="楷体" w:cs="楷体"/>
          <w:b w:val="0"/>
          <w:bCs w:val="0"/>
          <w:sz w:val="24"/>
          <w:szCs w:val="24"/>
          <w:lang w:val="en-US" w:eastAsia="zh-CN"/>
        </w:rPr>
        <w:t>当甲方信用账户当日（T日）日终闭市后维持担保比例低于平仓线时</w:t>
      </w:r>
      <w:r>
        <w:rPr>
          <w:rFonts w:hint="eastAsia" w:ascii="楷体" w:hAnsi="楷体" w:eastAsia="楷体" w:cs="楷体"/>
          <w:b/>
          <w:bCs/>
          <w:sz w:val="24"/>
          <w:szCs w:val="24"/>
          <w:lang w:val="en-US" w:eastAsia="zh-CN"/>
        </w:rPr>
        <w:t>”。</w:t>
      </w:r>
    </w:p>
    <w:p>
      <w:pPr>
        <w:numPr>
          <w:ilvl w:val="0"/>
          <w:numId w:val="0"/>
        </w:numPr>
        <w:ind w:firstLine="481"/>
        <w:jc w:val="left"/>
        <w:rPr>
          <w:rFonts w:hint="eastAsia" w:ascii="楷体" w:hAnsi="楷体" w:eastAsia="楷体" w:cs="楷体"/>
          <w:b/>
          <w:bCs/>
          <w:sz w:val="24"/>
          <w:szCs w:val="24"/>
          <w:lang w:val="en-US" w:eastAsia="zh-CN"/>
        </w:rPr>
      </w:pPr>
    </w:p>
    <w:p>
      <w:pPr>
        <w:numPr>
          <w:ilvl w:val="0"/>
          <w:numId w:val="0"/>
        </w:numPr>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——第三十八条 强制平仓</w:t>
      </w:r>
    </w:p>
    <w:p>
      <w:pPr>
        <w:numPr>
          <w:ilvl w:val="0"/>
          <w:numId w:val="0"/>
        </w:numPr>
        <w:ind w:firstLine="482" w:firstLineChars="200"/>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将“</w:t>
      </w:r>
      <w:r>
        <w:rPr>
          <w:rFonts w:hint="eastAsia" w:ascii="楷体" w:hAnsi="楷体" w:eastAsia="楷体" w:cs="楷体"/>
          <w:b w:val="0"/>
          <w:bCs w:val="0"/>
          <w:sz w:val="24"/>
          <w:szCs w:val="24"/>
          <w:lang w:val="en-US" w:eastAsia="zh-CN"/>
        </w:rPr>
        <w:t>当甲方信用账户当日（T日）日终清算后维持担保比例低于平仓线时</w:t>
      </w:r>
      <w:r>
        <w:rPr>
          <w:rFonts w:hint="eastAsia" w:ascii="楷体" w:hAnsi="楷体" w:eastAsia="楷体" w:cs="楷体"/>
          <w:b/>
          <w:bCs/>
          <w:sz w:val="24"/>
          <w:szCs w:val="24"/>
          <w:lang w:val="en-US" w:eastAsia="zh-CN"/>
        </w:rPr>
        <w:t>”，修改为“</w:t>
      </w:r>
      <w:r>
        <w:rPr>
          <w:rFonts w:hint="eastAsia" w:ascii="楷体" w:hAnsi="楷体" w:eastAsia="楷体" w:cs="楷体"/>
          <w:b w:val="0"/>
          <w:bCs w:val="0"/>
          <w:sz w:val="24"/>
          <w:szCs w:val="24"/>
          <w:lang w:val="en-US" w:eastAsia="zh-CN"/>
        </w:rPr>
        <w:t>当甲方信用账户当日（T日）日终闭市后维持担保比例低于平仓线时</w:t>
      </w:r>
      <w:r>
        <w:rPr>
          <w:rFonts w:hint="eastAsia" w:ascii="楷体" w:hAnsi="楷体" w:eastAsia="楷体" w:cs="楷体"/>
          <w:b/>
          <w:bCs/>
          <w:sz w:val="24"/>
          <w:szCs w:val="24"/>
          <w:lang w:val="en-US" w:eastAsia="zh-CN"/>
        </w:rPr>
        <w:t>”</w:t>
      </w:r>
    </w:p>
    <w:p>
      <w:pPr>
        <w:numPr>
          <w:ilvl w:val="0"/>
          <w:numId w:val="0"/>
        </w:numPr>
        <w:ind w:firstLine="482" w:firstLineChars="200"/>
        <w:jc w:val="left"/>
        <w:rPr>
          <w:rFonts w:hint="eastAsia" w:ascii="楷体" w:hAnsi="楷体" w:eastAsia="楷体" w:cs="楷体"/>
          <w:b/>
          <w:bCs/>
          <w:sz w:val="24"/>
          <w:szCs w:val="24"/>
          <w:lang w:val="en-US" w:eastAsia="zh-CN"/>
        </w:rPr>
      </w:pPr>
    </w:p>
    <w:p>
      <w:pPr>
        <w:numPr>
          <w:ilvl w:val="0"/>
          <w:numId w:val="0"/>
        </w:numPr>
        <w:jc w:val="left"/>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第十一章 特殊事项的处理</w:t>
      </w:r>
    </w:p>
    <w:p>
      <w:pPr>
        <w:numPr>
          <w:ilvl w:val="0"/>
          <w:numId w:val="0"/>
        </w:numPr>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——第五十八条</w:t>
      </w:r>
    </w:p>
    <w:p>
      <w:pPr>
        <w:numPr>
          <w:ilvl w:val="0"/>
          <w:numId w:val="0"/>
        </w:numPr>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 xml:space="preserve">    将“</w:t>
      </w:r>
      <w:r>
        <w:rPr>
          <w:rFonts w:hint="eastAsia" w:ascii="楷体" w:hAnsi="楷体" w:eastAsia="楷体" w:cs="楷体"/>
          <w:b w:val="0"/>
          <w:bCs w:val="0"/>
          <w:sz w:val="24"/>
          <w:szCs w:val="24"/>
          <w:lang w:val="en-US" w:eastAsia="zh-CN"/>
        </w:rPr>
        <w:t>国家有权机关依法对甲方信用证券账户记载的权益采取财产保全或强制执行措施的，乙方将了结甲方的融资融券交易，收回因融资融券所生对甲方的债权后，将剩余证券划转到甲方的普通证券账户，将剩余资金划转到其普通资金账户，并协助国家有权机关执行。</w:t>
      </w:r>
      <w:r>
        <w:rPr>
          <w:rFonts w:hint="eastAsia" w:ascii="楷体" w:hAnsi="楷体" w:eastAsia="楷体" w:cs="楷体"/>
          <w:b/>
          <w:bCs/>
          <w:sz w:val="24"/>
          <w:szCs w:val="24"/>
          <w:lang w:val="en-US" w:eastAsia="zh-CN"/>
        </w:rPr>
        <w:t>”修改为“</w:t>
      </w:r>
      <w:r>
        <w:rPr>
          <w:rFonts w:hint="eastAsia" w:ascii="楷体" w:hAnsi="楷体" w:eastAsia="楷体" w:cs="楷体"/>
          <w:b w:val="0"/>
          <w:bCs w:val="0"/>
          <w:sz w:val="24"/>
          <w:szCs w:val="24"/>
          <w:lang w:val="en-US" w:eastAsia="zh-CN"/>
        </w:rPr>
        <w:t>国家有权机关依法对甲方信用证券账户记载的权益采取财产保全或强制执行措施的，乙方将了结甲方的融资融券交易，收回因融资融券所生对甲方的债权后，将剩余证券划转到甲方的普通证券账户，并协助国家有权机关执行。乙方根据国家有权机关的通知或者其他法律文件可自行决定收回因融资融券所生对甲方的债权的处置方式。</w:t>
      </w:r>
      <w:r>
        <w:rPr>
          <w:rFonts w:hint="eastAsia" w:ascii="楷体" w:hAnsi="楷体" w:eastAsia="楷体" w:cs="楷体"/>
          <w:b/>
          <w:bCs/>
          <w:sz w:val="24"/>
          <w:szCs w:val="24"/>
          <w:lang w:val="en-US" w:eastAsia="zh-CN"/>
        </w:rPr>
        <w:t>”</w:t>
      </w:r>
    </w:p>
    <w:p>
      <w:pPr>
        <w:numPr>
          <w:ilvl w:val="0"/>
          <w:numId w:val="0"/>
        </w:numPr>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 xml:space="preserve">  </w:t>
      </w:r>
    </w:p>
    <w:p>
      <w:pPr>
        <w:numPr>
          <w:ilvl w:val="0"/>
          <w:numId w:val="0"/>
        </w:numPr>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——第五十九条</w:t>
      </w:r>
    </w:p>
    <w:p>
      <w:pPr>
        <w:numPr>
          <w:ilvl w:val="0"/>
          <w:numId w:val="0"/>
        </w:numPr>
        <w:ind w:firstLine="480" w:firstLineChars="200"/>
        <w:jc w:val="left"/>
        <w:rPr>
          <w:rFonts w:hint="eastAsia" w:eastAsia="楷体_GB2312"/>
          <w:sz w:val="24"/>
          <w:szCs w:val="24"/>
          <w:lang w:eastAsia="zh-CN"/>
        </w:rPr>
      </w:pPr>
      <w:r>
        <w:rPr>
          <w:rFonts w:hint="eastAsia" w:eastAsia="楷体_GB2312"/>
          <w:sz w:val="24"/>
          <w:szCs w:val="24"/>
          <w:lang w:eastAsia="zh-CN"/>
        </w:rPr>
        <w:t>将“</w:t>
      </w:r>
      <w:r>
        <w:rPr>
          <w:rFonts w:hint="eastAsia" w:eastAsia="楷体_GB2312"/>
          <w:sz w:val="24"/>
          <w:szCs w:val="24"/>
        </w:rPr>
        <w:t>甲方信用证券账户记载的权益被继承、财产分割、遗赠或赠与情形下，相关权利人应持有效法律文书向乙方申请了结甲方的融资融券交易，了结融资融券交易、乙方收回因融资融券所生对甲方的债权后有剩余证券或资金的，乙方将剩余证券划转到甲方普通证券账户，将剩余资金划转到甲方普通资金账户，并协助相关权利人办理有关继承、财产分割、遗赠或赠与手续。</w:t>
      </w:r>
      <w:r>
        <w:rPr>
          <w:rFonts w:hint="eastAsia" w:eastAsia="楷体_GB2312"/>
          <w:sz w:val="24"/>
          <w:szCs w:val="24"/>
          <w:lang w:eastAsia="zh-CN"/>
        </w:rPr>
        <w:t>”</w:t>
      </w:r>
      <w:r>
        <w:rPr>
          <w:rFonts w:hint="eastAsia" w:eastAsia="楷体_GB2312"/>
          <w:b/>
          <w:bCs/>
          <w:sz w:val="24"/>
          <w:szCs w:val="24"/>
          <w:lang w:eastAsia="zh-CN"/>
        </w:rPr>
        <w:t>修改为</w:t>
      </w:r>
      <w:r>
        <w:rPr>
          <w:rFonts w:hint="eastAsia" w:eastAsia="楷体_GB2312"/>
          <w:sz w:val="24"/>
          <w:szCs w:val="24"/>
          <w:lang w:eastAsia="zh-CN"/>
        </w:rPr>
        <w:t>“第五十九条甲方信用证券账户记载的权益被继承、财产分割、遗赠或赠与情形下，相关权利人应持有效法律文书向乙方申请了结甲方的融资融券交易，了结融资融券交易、乙方收回因融资融券所生对甲方的债权后有剩余证券或资金的，乙方将剩余证券划转到甲方普通证券账户，并协助相关权利人办理有关继承、财产分割、遗赠或赠与手续。”</w:t>
      </w:r>
    </w:p>
    <w:p>
      <w:pPr>
        <w:numPr>
          <w:ilvl w:val="0"/>
          <w:numId w:val="0"/>
        </w:numPr>
        <w:ind w:firstLine="480" w:firstLineChars="200"/>
        <w:jc w:val="left"/>
        <w:rPr>
          <w:rFonts w:hint="eastAsia" w:eastAsia="楷体_GB2312"/>
          <w:sz w:val="24"/>
          <w:szCs w:val="24"/>
          <w:lang w:val="en-US" w:eastAsia="zh-CN"/>
        </w:rPr>
      </w:pPr>
    </w:p>
    <w:p>
      <w:pPr>
        <w:numPr>
          <w:ilvl w:val="0"/>
          <w:numId w:val="0"/>
        </w:numPr>
        <w:jc w:val="left"/>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第十三章 通知与送达</w:t>
      </w:r>
    </w:p>
    <w:p>
      <w:pPr>
        <w:numPr>
          <w:ilvl w:val="0"/>
          <w:numId w:val="0"/>
        </w:numPr>
        <w:jc w:val="left"/>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——新增“第六十六条 通知与送达的效力</w:t>
      </w:r>
      <w:r>
        <w:rPr>
          <w:rFonts w:hint="eastAsia" w:ascii="楷体" w:hAnsi="楷体" w:eastAsia="楷体" w:cs="楷体"/>
          <w:b w:val="0"/>
          <w:bCs w:val="0"/>
          <w:sz w:val="24"/>
          <w:szCs w:val="24"/>
          <w:lang w:val="en-US" w:eastAsia="zh-CN"/>
        </w:rPr>
        <w:t>：</w:t>
      </w:r>
    </w:p>
    <w:p>
      <w:pPr>
        <w:numPr>
          <w:ilvl w:val="0"/>
          <w:numId w:val="0"/>
        </w:numPr>
        <w:jc w:val="left"/>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（一）双方同意甲方在乙方所预留的联络方式中的送达地址持续适用于双方融资融券业务的合同履行期间、人民法院一审、二审、再审和执行期间。</w:t>
      </w:r>
    </w:p>
    <w:p>
      <w:pPr>
        <w:numPr>
          <w:ilvl w:val="0"/>
          <w:numId w:val="0"/>
        </w:numPr>
        <w:jc w:val="left"/>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（二）双方或人民法院为融资融券业务的合同的履行、变更、解除和争议解决，按前述</w:t>
      </w:r>
    </w:p>
    <w:p>
      <w:pPr>
        <w:numPr>
          <w:ilvl w:val="0"/>
          <w:numId w:val="0"/>
        </w:numPr>
        <w:jc w:val="left"/>
        <w:rPr>
          <w:rFonts w:hint="eastAsia" w:ascii="楷体" w:hAnsi="楷体" w:eastAsia="楷体" w:cs="楷体"/>
          <w:b/>
          <w:bCs/>
          <w:sz w:val="24"/>
          <w:szCs w:val="24"/>
          <w:lang w:val="en-US" w:eastAsia="zh-CN"/>
        </w:rPr>
      </w:pPr>
      <w:r>
        <w:rPr>
          <w:rFonts w:hint="eastAsia" w:ascii="楷体" w:hAnsi="楷体" w:eastAsia="楷体" w:cs="楷体"/>
          <w:b w:val="0"/>
          <w:bCs w:val="0"/>
          <w:sz w:val="24"/>
          <w:szCs w:val="24"/>
          <w:lang w:val="en-US" w:eastAsia="zh-CN"/>
        </w:rPr>
        <w:t>联络方式中的送达地址向对方邮寄、发送相关文书时，若发生送达不成情形（包括但不限于收件人身份不明、无人签收、地址不详、地址搬迁、长期未自取、电子数据被退回、拒收等），以文书退回之日视为送达之日；按前述邮寄地址直接送达文书时，若发生送达不成情形（包括但不限于无人签收、地址不详、地址搬迁、拒收等），可以采用留置或张贴文书的方式送达，以留置或张贴文书之日视为送达之日。</w:t>
      </w:r>
      <w:r>
        <w:rPr>
          <w:rFonts w:hint="eastAsia" w:ascii="楷体" w:hAnsi="楷体" w:eastAsia="楷体" w:cs="楷体"/>
          <w:b/>
          <w:bCs/>
          <w:sz w:val="24"/>
          <w:szCs w:val="24"/>
          <w:lang w:val="en-US" w:eastAsia="zh-CN"/>
        </w:rPr>
        <w:t>”</w:t>
      </w:r>
    </w:p>
    <w:p>
      <w:pPr>
        <w:numPr>
          <w:ilvl w:val="0"/>
          <w:numId w:val="0"/>
        </w:numPr>
        <w:jc w:val="left"/>
        <w:rPr>
          <w:rFonts w:hint="eastAsia" w:ascii="楷体" w:hAnsi="楷体" w:eastAsia="楷体" w:cs="楷体"/>
          <w:b/>
          <w:bCs/>
          <w:sz w:val="24"/>
          <w:szCs w:val="24"/>
          <w:lang w:val="en-US" w:eastAsia="zh-CN"/>
        </w:rPr>
      </w:pPr>
    </w:p>
    <w:p>
      <w:pPr>
        <w:numPr>
          <w:ilvl w:val="0"/>
          <w:numId w:val="0"/>
        </w:numPr>
        <w:jc w:val="left"/>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第十八章 附则</w:t>
      </w:r>
    </w:p>
    <w:p>
      <w:pPr>
        <w:numPr>
          <w:ilvl w:val="0"/>
          <w:numId w:val="0"/>
        </w:numPr>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——第九十二条</w:t>
      </w:r>
    </w:p>
    <w:p>
      <w:pPr>
        <w:numPr>
          <w:ilvl w:val="0"/>
          <w:numId w:val="0"/>
        </w:numPr>
        <w:ind w:firstLine="482" w:firstLineChars="200"/>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将“</w:t>
      </w:r>
      <w:r>
        <w:rPr>
          <w:rFonts w:hint="eastAsia" w:ascii="楷体" w:hAnsi="楷体" w:eastAsia="楷体" w:cs="楷体"/>
          <w:b w:val="0"/>
          <w:bCs w:val="0"/>
          <w:sz w:val="24"/>
          <w:szCs w:val="24"/>
          <w:lang w:val="en-US" w:eastAsia="zh-CN"/>
        </w:rPr>
        <w:t>第九十二条本合同自甲乙双方按照本合同第八十九条的规定签署并盖章之日起生效，有效期为壹年。本合同到期日的壹个月前，双方均可书面通知对方到期终止本合同或者重新签订本合同；双方均未发出通知的，本合同有效期自动顺延壹年；以此类推。</w:t>
      </w:r>
      <w:r>
        <w:rPr>
          <w:rFonts w:hint="eastAsia" w:ascii="楷体" w:hAnsi="楷体" w:eastAsia="楷体" w:cs="楷体"/>
          <w:b/>
          <w:bCs/>
          <w:sz w:val="24"/>
          <w:szCs w:val="24"/>
          <w:lang w:val="en-US" w:eastAsia="zh-CN"/>
        </w:rPr>
        <w:t xml:space="preserve">”修改为“第九十三条 </w:t>
      </w:r>
      <w:r>
        <w:rPr>
          <w:rFonts w:hint="eastAsia" w:ascii="楷体" w:hAnsi="楷体" w:eastAsia="楷体" w:cs="楷体"/>
          <w:b w:val="0"/>
          <w:bCs w:val="0"/>
          <w:sz w:val="24"/>
          <w:szCs w:val="24"/>
          <w:lang w:val="en-US" w:eastAsia="zh-CN"/>
        </w:rPr>
        <w:t>本合同自甲乙双方按照本合同第九十二条的规定签署并盖章之日起生效，有效期为壹年。本合同到期日的壹个月前，双方均可书面通知对方到期终止本合同或者重新签订本合同；双方均未发出通知的，本合同有效期自动顺延壹年；以此类推。</w:t>
      </w:r>
      <w:r>
        <w:rPr>
          <w:rFonts w:hint="eastAsia" w:ascii="楷体" w:hAnsi="楷体" w:eastAsia="楷体" w:cs="楷体"/>
          <w:b/>
          <w:bCs/>
          <w:sz w:val="24"/>
          <w:szCs w:val="24"/>
          <w:lang w:val="en-US" w:eastAsia="zh-CN"/>
        </w:rPr>
        <w:t>”</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JWrw9HxAQAAwQMAAA4AAABkcnMvZTJvRG9jLnhtbK1TzY7TMBC+I/EO&#10;lu80bflboqarZVdFSAuLtPAAjuMkFrHHGrtNygPAG+yJC3eeq8+xY6cpC9wQF2s8P5/nm/m8Oh9M&#10;x3YKvQZb8MVszpmyEiptm4J/+rh5csaZD8JWogOrCr5Xnp+vHz9a9S5XS2ihqxQyArE+713B2xBc&#10;nmVetsoIPwOnLAVrQCMCXbHJKhQ9oZsuW87nL7IesHIIUnlP3qsxyNcJv66VDDd17VVgXcGpt5BO&#10;TGcZz2y9EnmDwrVaHtsQ/9CFEdrSoyeoKxEE26L+C8poieChDjMJJoO61lIlDsRmMf+DzW0rnEpc&#10;aDjencbk/x+sfL/7gExXtDvOrDC0osPdt8P3n4cfX9kijqd3PqesW0d5YXgNQ0yNVL27BvnZMwuX&#10;rbCNukCEvlWiovZSZfagdMTxEaTs30FF74htgAQ01GgiIE2DETqtaX9ajRoCk+R8fvZsSQFJkcXT&#10;Vy/naXOZyKdahz68UWBYNAqOtPiELXbXPhALSp1S4lMWNrrr0vI7+5uDEkePSuo5VkcmsfmRRhjK&#10;4TiZEqo9cUIYlUU/gYwW8AtnPamq4JZkz1n31tJUogAnAyejnAxhJRUWPHA2mpdhFOrWoW5awp3m&#10;fkGT2+hEKzY29kAc44V0ktgeNR2F+PCesn79vPU9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1u5&#10;d9AAAAACAQAADwAAAAAAAAABACAAAAAiAAAAZHJzL2Rvd25yZXYueG1sUEsBAhQAFAAAAAgAh07i&#10;QJWrw9HxAQAAwQMAAA4AAAAAAAAAAQAgAAAAHwEAAGRycy9lMm9Eb2MueG1sUEsFBgAAAAAGAAYA&#10;WQEAAI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hint="eastAsia"/>
      </w:rPr>
      <w:t>首创证券有限责任公司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44DD4"/>
    <w:multiLevelType w:val="singleLevel"/>
    <w:tmpl w:val="14144DD4"/>
    <w:lvl w:ilvl="0" w:tentative="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42"/>
    <w:rsid w:val="00020A8E"/>
    <w:rsid w:val="00075891"/>
    <w:rsid w:val="000B35E5"/>
    <w:rsid w:val="000E56E2"/>
    <w:rsid w:val="00120A03"/>
    <w:rsid w:val="00155AC4"/>
    <w:rsid w:val="001D1369"/>
    <w:rsid w:val="001E55CB"/>
    <w:rsid w:val="001F6A1A"/>
    <w:rsid w:val="002005AF"/>
    <w:rsid w:val="002261C2"/>
    <w:rsid w:val="00237C93"/>
    <w:rsid w:val="002470D6"/>
    <w:rsid w:val="002654B9"/>
    <w:rsid w:val="00273A3F"/>
    <w:rsid w:val="002D57B3"/>
    <w:rsid w:val="00314687"/>
    <w:rsid w:val="00342521"/>
    <w:rsid w:val="003719A5"/>
    <w:rsid w:val="003733C5"/>
    <w:rsid w:val="0039248A"/>
    <w:rsid w:val="003A5F16"/>
    <w:rsid w:val="00403748"/>
    <w:rsid w:val="00440EDF"/>
    <w:rsid w:val="00447A9D"/>
    <w:rsid w:val="00451020"/>
    <w:rsid w:val="0045500B"/>
    <w:rsid w:val="0046122A"/>
    <w:rsid w:val="00480132"/>
    <w:rsid w:val="004B2D4A"/>
    <w:rsid w:val="004C6296"/>
    <w:rsid w:val="005159BF"/>
    <w:rsid w:val="00553B08"/>
    <w:rsid w:val="00570780"/>
    <w:rsid w:val="005C2A4D"/>
    <w:rsid w:val="005E3A6C"/>
    <w:rsid w:val="0063106C"/>
    <w:rsid w:val="0065472E"/>
    <w:rsid w:val="00661E72"/>
    <w:rsid w:val="006A0F51"/>
    <w:rsid w:val="007E6378"/>
    <w:rsid w:val="00823339"/>
    <w:rsid w:val="008C160A"/>
    <w:rsid w:val="008C1CDD"/>
    <w:rsid w:val="0090451B"/>
    <w:rsid w:val="00954767"/>
    <w:rsid w:val="009A1B94"/>
    <w:rsid w:val="009A7086"/>
    <w:rsid w:val="00A02777"/>
    <w:rsid w:val="00A50679"/>
    <w:rsid w:val="00A6080E"/>
    <w:rsid w:val="00A7551A"/>
    <w:rsid w:val="00A76231"/>
    <w:rsid w:val="00AA080A"/>
    <w:rsid w:val="00AD295E"/>
    <w:rsid w:val="00B31F19"/>
    <w:rsid w:val="00B35501"/>
    <w:rsid w:val="00B66A48"/>
    <w:rsid w:val="00BC3B63"/>
    <w:rsid w:val="00BC3ECF"/>
    <w:rsid w:val="00C1087B"/>
    <w:rsid w:val="00C10D58"/>
    <w:rsid w:val="00C7003F"/>
    <w:rsid w:val="00D00C2C"/>
    <w:rsid w:val="00D645EC"/>
    <w:rsid w:val="00D93DFC"/>
    <w:rsid w:val="00DE0D2E"/>
    <w:rsid w:val="00E574CD"/>
    <w:rsid w:val="00E85B42"/>
    <w:rsid w:val="00EB404F"/>
    <w:rsid w:val="00F113A8"/>
    <w:rsid w:val="00F138B9"/>
    <w:rsid w:val="00F61F90"/>
    <w:rsid w:val="00F962DE"/>
    <w:rsid w:val="00FA2037"/>
    <w:rsid w:val="00FA3AB1"/>
    <w:rsid w:val="0373637E"/>
    <w:rsid w:val="07B42F31"/>
    <w:rsid w:val="07E12FD5"/>
    <w:rsid w:val="09EC5ECA"/>
    <w:rsid w:val="10FD29EF"/>
    <w:rsid w:val="131A3DC3"/>
    <w:rsid w:val="13412A3B"/>
    <w:rsid w:val="13737B75"/>
    <w:rsid w:val="14997957"/>
    <w:rsid w:val="14E202A4"/>
    <w:rsid w:val="152D6518"/>
    <w:rsid w:val="158263EA"/>
    <w:rsid w:val="15BD7ABA"/>
    <w:rsid w:val="16555611"/>
    <w:rsid w:val="17DB386B"/>
    <w:rsid w:val="17FA53CF"/>
    <w:rsid w:val="1C323936"/>
    <w:rsid w:val="1C7D3858"/>
    <w:rsid w:val="1C9B12FC"/>
    <w:rsid w:val="1F682713"/>
    <w:rsid w:val="204639F9"/>
    <w:rsid w:val="21DE311D"/>
    <w:rsid w:val="230D1610"/>
    <w:rsid w:val="24E27D0A"/>
    <w:rsid w:val="2537799C"/>
    <w:rsid w:val="290A22ED"/>
    <w:rsid w:val="2AF00502"/>
    <w:rsid w:val="2B0E0157"/>
    <w:rsid w:val="30316E1F"/>
    <w:rsid w:val="321B43C1"/>
    <w:rsid w:val="32ED510C"/>
    <w:rsid w:val="33D3595E"/>
    <w:rsid w:val="376D5386"/>
    <w:rsid w:val="378D5E78"/>
    <w:rsid w:val="38435E8A"/>
    <w:rsid w:val="3B2077FF"/>
    <w:rsid w:val="3D076F38"/>
    <w:rsid w:val="3E243A02"/>
    <w:rsid w:val="3EA70758"/>
    <w:rsid w:val="3F0874F8"/>
    <w:rsid w:val="419112FD"/>
    <w:rsid w:val="42780119"/>
    <w:rsid w:val="430E17A6"/>
    <w:rsid w:val="430E48A7"/>
    <w:rsid w:val="43B3461E"/>
    <w:rsid w:val="45521230"/>
    <w:rsid w:val="46B42C22"/>
    <w:rsid w:val="477B22CE"/>
    <w:rsid w:val="478D2314"/>
    <w:rsid w:val="4B552AA6"/>
    <w:rsid w:val="4B745559"/>
    <w:rsid w:val="4BED3F1E"/>
    <w:rsid w:val="4D99611A"/>
    <w:rsid w:val="50BA08CD"/>
    <w:rsid w:val="511B51EC"/>
    <w:rsid w:val="513A40D0"/>
    <w:rsid w:val="51B4732C"/>
    <w:rsid w:val="51C2636D"/>
    <w:rsid w:val="530B1DCC"/>
    <w:rsid w:val="546152EE"/>
    <w:rsid w:val="553B0AB6"/>
    <w:rsid w:val="576A00F7"/>
    <w:rsid w:val="59B447B9"/>
    <w:rsid w:val="5C5E681A"/>
    <w:rsid w:val="5E22758D"/>
    <w:rsid w:val="5FE50461"/>
    <w:rsid w:val="60674100"/>
    <w:rsid w:val="626671FB"/>
    <w:rsid w:val="65474D35"/>
    <w:rsid w:val="69AE16C9"/>
    <w:rsid w:val="6B21034E"/>
    <w:rsid w:val="6C212C1C"/>
    <w:rsid w:val="6FAA69DE"/>
    <w:rsid w:val="71D310CC"/>
    <w:rsid w:val="73DC202B"/>
    <w:rsid w:val="741C6D2F"/>
    <w:rsid w:val="756338A7"/>
    <w:rsid w:val="75F0310B"/>
    <w:rsid w:val="790E5121"/>
    <w:rsid w:val="7C342F7E"/>
    <w:rsid w:val="7DD31F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semiHidden/>
    <w:qFormat/>
    <w:uiPriority w:val="99"/>
    <w:rPr>
      <w:sz w:val="18"/>
      <w:szCs w:val="18"/>
    </w:rPr>
  </w:style>
  <w:style w:type="character" w:customStyle="1" w:styleId="8">
    <w:name w:val="页脚 Char"/>
    <w:link w:val="3"/>
    <w:semiHidden/>
    <w:qFormat/>
    <w:uiPriority w:val="99"/>
    <w:rPr>
      <w:sz w:val="18"/>
      <w:szCs w:val="18"/>
    </w:rPr>
  </w:style>
  <w:style w:type="paragraph" w:customStyle="1" w:styleId="9">
    <w:name w:val="列出段落1"/>
    <w:basedOn w:val="1"/>
    <w:unhideWhenUsed/>
    <w:qFormat/>
    <w:uiPriority w:val="99"/>
    <w:pPr>
      <w:ind w:firstLine="420" w:firstLineChars="200"/>
    </w:pPr>
  </w:style>
  <w:style w:type="character" w:customStyle="1" w:styleId="10">
    <w:name w:val="emailstyle15"/>
    <w:basedOn w:val="5"/>
    <w:qFormat/>
    <w:uiPriority w:val="0"/>
    <w:rPr>
      <w:rFonts w:hint="default" w:ascii="Calibri" w:hAnsi="Calibri" w:eastAsia="宋体" w:cs="Times New Roman"/>
      <w:color w:val="1F497D"/>
      <w:sz w:val="21"/>
      <w:szCs w:val="22"/>
    </w:rPr>
  </w:style>
  <w:style w:type="paragraph" w:customStyle="1"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657AF-DC58-448B-8555-D4142FF739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71</Words>
  <Characters>407</Characters>
  <Lines>3</Lines>
  <Paragraphs>1</Paragraphs>
  <TotalTime>10</TotalTime>
  <ScaleCrop>false</ScaleCrop>
  <LinksUpToDate>false</LinksUpToDate>
  <CharactersWithSpaces>477</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2017-02-14T06:09:00Z</dcterms:created>
  <dc:creator>shiqk</dc:creator>
  <cp:lastModifiedBy>yinming</cp:lastModifiedBy>
  <cp:lastPrinted>2017-02-14T06:32:00Z</cp:lastPrinted>
  <dcterms:modified xsi:type="dcterms:W3CDTF">2018-12-11T00:52:24Z</dcterms:modified>
  <dc:title>首创证券有限责任公司融资融券业务合同修订说明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